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9A" w:rsidRPr="000522E8" w:rsidRDefault="00B9565B">
      <w:pPr>
        <w:spacing w:beforeLines="50" w:before="156" w:afterLines="50" w:after="156" w:line="400" w:lineRule="atLeast"/>
        <w:ind w:left="357"/>
        <w:contextualSpacing/>
        <w:jc w:val="distribute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 w:rsidRPr="000522E8"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绿色食品生产操作规程</w:t>
      </w:r>
    </w:p>
    <w:p w:rsidR="0055599A" w:rsidRPr="000522E8" w:rsidRDefault="00A4648E">
      <w:pPr>
        <w:spacing w:beforeLines="50" w:before="156" w:afterLines="50" w:after="156" w:line="400" w:lineRule="atLeast"/>
        <w:ind w:left="357"/>
        <w:contextualSpacing/>
        <w:jc w:val="righ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A4648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GFGC 2023A271</w:t>
      </w:r>
    </w:p>
    <w:p w:rsidR="0055599A" w:rsidRPr="000522E8" w:rsidRDefault="00B9565B">
      <w:pPr>
        <w:spacing w:beforeLines="50" w:before="156" w:afterLines="50" w:after="156" w:line="400" w:lineRule="atLeast"/>
        <w:ind w:left="357"/>
        <w:contextualSpacing/>
        <w:jc w:val="righ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0522E8">
        <w:rPr>
          <w:rFonts w:ascii="Times New Roman" w:eastAsia="黑体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AA5880" wp14:editId="7D11E12A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1E80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12.6pt;margin-top:6pt;width:407.4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"/>
            </w:pict>
          </mc:Fallback>
        </mc:AlternateContent>
      </w: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A4648E">
      <w:pPr>
        <w:spacing w:beforeLines="50" w:before="156" w:afterLines="50" w:after="156" w:line="360" w:lineRule="auto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 w:rsidRPr="00A4648E">
        <w:rPr>
          <w:rFonts w:ascii="Times New Roman" w:eastAsia="黑体" w:hAnsi="Times New Roman" w:cs="Times New Roman" w:hint="eastAsia"/>
          <w:color w:val="000000" w:themeColor="text1"/>
          <w:sz w:val="48"/>
          <w:szCs w:val="48"/>
        </w:rPr>
        <w:t>云贵川等地区</w:t>
      </w:r>
    </w:p>
    <w:p w:rsidR="0055599A" w:rsidRPr="000522E8" w:rsidRDefault="0055599A">
      <w:pPr>
        <w:spacing w:beforeLines="50" w:before="156" w:afterLines="50" w:after="156" w:line="360" w:lineRule="auto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18"/>
          <w:szCs w:val="18"/>
        </w:rPr>
      </w:pPr>
    </w:p>
    <w:p w:rsidR="0055599A" w:rsidRPr="000522E8" w:rsidRDefault="00B9565B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sz w:val="48"/>
          <w:szCs w:val="48"/>
        </w:rPr>
        <w:t>绿色食品肉鸭林下养殖技术规程</w:t>
      </w:r>
    </w:p>
    <w:p w:rsidR="000522E8" w:rsidRPr="000522E8" w:rsidRDefault="000522E8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B9565B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522E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（</w:t>
      </w:r>
      <w:r w:rsidR="000522E8" w:rsidRPr="000522E8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报批稿</w:t>
      </w:r>
      <w:r w:rsidRPr="000522E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）</w:t>
      </w: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522E8" w:rsidRPr="000522E8" w:rsidRDefault="000522E8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522E8" w:rsidRPr="000522E8" w:rsidRDefault="000522E8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522E8" w:rsidRPr="000522E8" w:rsidRDefault="000522E8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0522E8" w:rsidP="00A4648E">
      <w:pPr>
        <w:spacing w:beforeLines="50" w:before="156" w:afterLines="50" w:after="156" w:line="400" w:lineRule="atLeast"/>
        <w:ind w:left="357"/>
        <w:contextualSpacing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0522E8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2023</w:t>
      </w:r>
      <w:r w:rsidR="00A4648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-04-25</w:t>
      </w:r>
      <w:r w:rsidR="00B9565B" w:rsidRPr="000522E8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发布</w:t>
      </w:r>
      <w:r w:rsidRPr="000522E8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 xml:space="preserve">        </w:t>
      </w:r>
      <w:r w:rsidR="00A4648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Pr="000522E8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 xml:space="preserve">   </w:t>
      </w:r>
      <w:r w:rsidR="00A4648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0522E8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 xml:space="preserve">             </w:t>
      </w:r>
      <w:r w:rsidRPr="000522E8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2023</w:t>
      </w:r>
      <w:r w:rsidR="00A4648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-05-01</w:t>
      </w:r>
      <w:r w:rsidR="00B9565B" w:rsidRPr="000522E8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实施</w:t>
      </w:r>
    </w:p>
    <w:p w:rsidR="0055599A" w:rsidRPr="000522E8" w:rsidRDefault="00B9565B">
      <w:pPr>
        <w:spacing w:beforeLines="50" w:before="156" w:afterLines="50" w:after="156" w:line="400" w:lineRule="atLeast"/>
        <w:ind w:left="357"/>
        <w:contextualSpacing/>
        <w:jc w:val="left"/>
        <w:rPr>
          <w:rFonts w:ascii="Times New Roman" w:eastAsia="黑体" w:hAnsi="Times New Roman" w:cs="Times New Roman"/>
          <w:color w:val="000000" w:themeColor="text1"/>
          <w:sz w:val="24"/>
          <w:szCs w:val="24"/>
        </w:rPr>
      </w:pPr>
      <w:r w:rsidRPr="000522E8">
        <w:rPr>
          <w:rFonts w:ascii="Times New Roman" w:eastAsia="黑体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F81114" wp14:editId="14B3F9D2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3810" b="889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D9117F" id="直接箭头连接符 3" o:spid="_x0000_s1026" type="#_x0000_t32" style="position:absolute;left:0;text-align:left;margin-left:16.2pt;margin-top:9pt;width:382.2pt;height: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"/>
            </w:pict>
          </mc:Fallback>
        </mc:AlternateContent>
      </w:r>
    </w:p>
    <w:p w:rsidR="000522E8" w:rsidRPr="000522E8" w:rsidRDefault="00B9565B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sectPr w:rsidR="000522E8" w:rsidRPr="000522E8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522E8">
        <w:rPr>
          <w:rFonts w:ascii="Times New Roman" w:eastAsia="华文中宋" w:hAnsi="Times New Roman" w:cs="Times New Roman"/>
          <w:color w:val="000000" w:themeColor="text1"/>
          <w:spacing w:val="71"/>
          <w:kern w:val="0"/>
          <w:sz w:val="32"/>
          <w:szCs w:val="32"/>
          <w:fitText w:val="4480" w:id="1262826997"/>
        </w:rPr>
        <w:t>中国绿色食品发展中</w:t>
      </w:r>
      <w:r w:rsidRPr="000522E8">
        <w:rPr>
          <w:rFonts w:ascii="Times New Roman" w:eastAsia="华文中宋" w:hAnsi="Times New Roman" w:cs="Times New Roman"/>
          <w:color w:val="000000" w:themeColor="text1"/>
          <w:spacing w:val="1"/>
          <w:kern w:val="0"/>
          <w:sz w:val="32"/>
          <w:szCs w:val="32"/>
          <w:fitText w:val="4480" w:id="1262826997"/>
        </w:rPr>
        <w:t>心</w:t>
      </w:r>
      <w:r w:rsidRPr="000522E8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发布</w:t>
      </w: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55599A" w:rsidRPr="000522E8" w:rsidRDefault="00B9565B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0522E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前言</w:t>
      </w:r>
    </w:p>
    <w:p w:rsidR="0055599A" w:rsidRPr="000522E8" w:rsidRDefault="0055599A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5599A" w:rsidRPr="000522E8" w:rsidRDefault="00B9565B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本规程由中国绿色食品发展中心提出并归口。</w:t>
      </w:r>
    </w:p>
    <w:p w:rsidR="0055599A" w:rsidRPr="000522E8" w:rsidRDefault="00B9565B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本规程起草单位：贵州省绿色食品发展中心、贵州省种畜禽种质测定中心、贵州省草地技术试验推广站、贵州省畜牧兽医研究所、贵州省地理标志研究会、贵州大学、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黔灵山公园动物园、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紫云县农业农村局、贞丰县农业农村局、遵义市农业农村局、六盘水市农业农村局、</w:t>
      </w:r>
      <w:r w:rsidR="00C80AC8" w:rsidRPr="000522E8">
        <w:rPr>
          <w:rFonts w:ascii="Times New Roman" w:eastAsia="宋体" w:hAnsi="Times New Roman" w:cs="Times New Roman"/>
          <w:color w:val="000000" w:themeColor="text1"/>
          <w:szCs w:val="21"/>
        </w:rPr>
        <w:t>中国绿色食品发展中心、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四川省绿色食品发展中心、云南省绿色食品发展中心</w:t>
      </w:r>
      <w:r w:rsidR="00D53156"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 w:rsidR="00C80AC8" w:rsidRPr="000522E8">
        <w:rPr>
          <w:rFonts w:ascii="Times New Roman" w:eastAsia="宋体" w:hAnsi="Times New Roman" w:cs="Times New Roman"/>
          <w:color w:val="000000" w:themeColor="text1"/>
          <w:szCs w:val="21"/>
        </w:rPr>
        <w:t>重庆</w:t>
      </w:r>
      <w:r w:rsidR="00C80AC8"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市农产品</w:t>
      </w:r>
      <w:r w:rsidR="00C80AC8" w:rsidRPr="000522E8">
        <w:rPr>
          <w:rFonts w:ascii="Times New Roman" w:eastAsia="宋体" w:hAnsi="Times New Roman" w:cs="Times New Roman"/>
          <w:color w:val="000000" w:themeColor="text1"/>
          <w:szCs w:val="21"/>
        </w:rPr>
        <w:t>质量安全中心</w:t>
      </w:r>
    </w:p>
    <w:p w:rsidR="0055599A" w:rsidRPr="000522E8" w:rsidRDefault="00B9565B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本规程主要起草人：代振江、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李俊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、陈量、梁潇、任晓慧、张瑞、张明露、陈玲、冯萍、冯文武、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付浩、李达、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唐继高、王惟惟、王维、李万贵、陈海燕、付妆、罗文斌、熊小龙、张剑勇、李发耀、</w:t>
      </w:r>
      <w:r w:rsidR="00C80AC8"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刘艳辉</w:t>
      </w:r>
      <w:r w:rsidR="00C80AC8" w:rsidRPr="000522E8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王艳蓉、钱琳刚、江波</w:t>
      </w:r>
      <w:r w:rsidR="00C80AC8"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>、张海彬</w:t>
      </w: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0522E8" w:rsidRPr="000522E8" w:rsidRDefault="000522E8">
      <w:pPr>
        <w:widowControl/>
        <w:jc w:val="center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</w:pPr>
    </w:p>
    <w:p w:rsidR="0055599A" w:rsidRPr="000522E8" w:rsidRDefault="00A4648E">
      <w:pPr>
        <w:widowControl/>
        <w:jc w:val="center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</w:pPr>
      <w:r w:rsidRPr="00A4648E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云贵川等地区</w:t>
      </w:r>
      <w:r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32"/>
          <w:lang w:bidi="ar"/>
        </w:rPr>
        <w:t xml:space="preserve"> </w:t>
      </w:r>
      <w:r w:rsidR="00B9565B" w:rsidRPr="000522E8"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  <w:t>绿色食品</w:t>
      </w:r>
      <w:r w:rsidR="00B9565B" w:rsidRPr="000522E8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肉</w:t>
      </w:r>
      <w:r w:rsidR="00B9565B" w:rsidRPr="000522E8"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  <w:t>鸭林下养殖技术规程</w:t>
      </w:r>
    </w:p>
    <w:p w:rsidR="0055599A" w:rsidRPr="000522E8" w:rsidRDefault="0055599A">
      <w:pPr>
        <w:rPr>
          <w:rFonts w:ascii="Times New Roman" w:hAnsi="Times New Roman" w:cs="Times New Roman"/>
          <w:color w:val="000000" w:themeColor="text1"/>
        </w:rPr>
      </w:pP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</w:rPr>
      </w:pP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1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范围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本</w:t>
      </w:r>
      <w:r w:rsidR="00D53156"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规程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规定了</w:t>
      </w:r>
      <w:r w:rsidR="00A4648E" w:rsidRPr="00A4648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云贵川等地区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绿色食品肉鸭林下养殖的环境与选址、布局与设施、品种选择、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养殖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模式、雏鸭饲养管理、育成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期放养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管理、疫病防控、出栏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及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运输、废弃物处理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、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档案管理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等。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本规程适用于</w:t>
      </w:r>
      <w:r w:rsidR="00D53156"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重庆、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四川、贵州和云南省的绿色食品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肉鸭林下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养殖。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规范性引用文件</w:t>
      </w:r>
    </w:p>
    <w:p w:rsidR="0055599A" w:rsidRPr="000522E8" w:rsidRDefault="00B9565B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000000" w:themeColor="text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下列文件中的条款通过本文件的引用而成为本文件的条款。凡是注明日期的引用文件，仅注日期的版本适用于本文件。凡是不注日期的引用文件，其最新版本（包括所有修改单）适用于本文件。</w:t>
      </w:r>
    </w:p>
    <w:p w:rsidR="00D53156" w:rsidRPr="000522E8" w:rsidRDefault="00B9565B" w:rsidP="001244CD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GB 18596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畜禽养殖业污染物排放标准</w:t>
      </w:r>
    </w:p>
    <w:p w:rsidR="00D53156" w:rsidRPr="000522E8" w:rsidRDefault="00D53156" w:rsidP="00D53156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NY/T 388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畜禽场环境质量标准</w:t>
      </w:r>
    </w:p>
    <w:p w:rsidR="00D53156" w:rsidRPr="000522E8" w:rsidRDefault="00D53156" w:rsidP="001244CD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391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绿色食品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产地环境质量</w:t>
      </w:r>
    </w:p>
    <w:p w:rsidR="00D53156" w:rsidRPr="000522E8" w:rsidRDefault="00D53156" w:rsidP="00D53156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471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饲料及饲料添加剂使用准则</w:t>
      </w:r>
    </w:p>
    <w:p w:rsidR="00D53156" w:rsidRPr="000522E8" w:rsidRDefault="00D53156" w:rsidP="00D53156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472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兽药使用准则</w:t>
      </w:r>
    </w:p>
    <w:p w:rsidR="00D53156" w:rsidRPr="000522E8" w:rsidRDefault="00D53156" w:rsidP="000522E8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473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畜禽卫生防疫准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则</w:t>
      </w:r>
    </w:p>
    <w:p w:rsidR="00D53156" w:rsidRPr="000522E8" w:rsidRDefault="00D53156" w:rsidP="001244CD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1056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="001244CD"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储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藏运输准则</w:t>
      </w:r>
    </w:p>
    <w:p w:rsidR="0055599A" w:rsidRPr="000522E8" w:rsidRDefault="00B9565B" w:rsidP="001244CD">
      <w:pPr>
        <w:spacing w:line="400" w:lineRule="exact"/>
        <w:ind w:firstLineChars="200" w:firstLine="420"/>
        <w:contextualSpacing/>
        <w:rPr>
          <w:rFonts w:ascii="Verdana" w:eastAsia="宋体" w:hAnsi="Verdana" w:cs="Verdana"/>
          <w:color w:val="000000" w:themeColor="text1"/>
          <w:sz w:val="30"/>
          <w:szCs w:val="30"/>
          <w:shd w:val="clear" w:color="auto" w:fill="FFFFFF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NY/T 1167</w:t>
      </w:r>
      <w:r w:rsidRPr="000522E8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="00E85B3B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畜禽场环境质量及卫生控制规范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3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环境与选址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3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.1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环境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鸭场环境应符合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NY/T388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规定；放养区生态环境符合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NY/T391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规定。放养地宜选择林地、果园等地方，生态环境维护及卫生控制措施应符合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NY/T1167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、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473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规定。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3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.2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选址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鸭场选址应符合《中华人民共和国畜牧法》和《动物防疫条件审查办法》的规定。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4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布局与设施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4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.1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布局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鸭场应设立生活管理区、生产区和处理区，生活区在生产区的上风向或侧风向处，粪污和病死鸭处理区在生产区的下风向或侧风向处。鸭场净道和污道分离，舍区及放养场地入口应有人员和车辆消毒通道。育雏鸭舍应安装采暖设施，做到保暖通风；商品鸭舍应建在地势较高能防雨、遮阳、避风、保暖的区域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4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设施设备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lastRenderedPageBreak/>
        <w:t>鸭场应配备有供暖、饮水、喂料、采光、通风、消毒及粪污处理等设施设备。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5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品种选择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应选择适应性强、抗逆性强、牧饲性好以及适宜林下养殖和市场需求的品种。雏鸭应从有《种畜禽生产经营许可证》和《动物防疫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条件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合格证》的种鸭场或孵化场引入，且需经过产地检疫。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6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养殖模式</w:t>
      </w:r>
    </w:p>
    <w:p w:rsidR="0055599A" w:rsidRPr="000522E8" w:rsidRDefault="00B9565B">
      <w:pPr>
        <w:widowControl/>
        <w:spacing w:line="400" w:lineRule="exact"/>
        <w:ind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育雏期采用立体笼养、网上平养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、肉鸭旱养等模式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，脱温后采用林下放养方式。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雏鸭饲养管理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.1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育雏方式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采用网上或地面育雏。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.2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育雏条件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.2.1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温度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第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周温度控制在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28°C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32°C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，以后每周下降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2°C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3°C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，降至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20°C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时逐步脱温。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.2.2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湿度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第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周的相对湿度为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60%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70%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，之后降低为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55%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65%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周龄后保持在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55%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.3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光照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第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周每天光照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23h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24h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，以后逐渐减少，光照强度控制在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瓦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/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平方米～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瓦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/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平方米，至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周时采用自然光照。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7.2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.4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通风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鸭舍要求通风良好，氨气、二氧化碳、硫化氢等空气质量指标符合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NY/T 388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的规定。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.5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密度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周龄每平方米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35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周龄每平方米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25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周龄每平方米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25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周龄每平方米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15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.6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开饮开食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雏鸭到鸭场后用温开水开饮，温开水中加入电解多维或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葡萄糖，确保雏鸭饮足水后再开食。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.7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饲喂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育雏期饲喂全价饲料，饲料符合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NY/T471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的规定。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周龄内，白天喂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6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7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次，夜间应加喂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周龄后每天喂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次，每次间隔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小时左右。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营养需要推荐量参见附录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A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育成期放养管理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.1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转群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 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转群前清洗消毒鸭舍，转群时间宜选择在晚上且保持商品鸭空腹，转群后的前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天应在饮水中加入电解质多维。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lastRenderedPageBreak/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.2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换料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要逐步增加新换饲料的比例，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天～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5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天内完成换料。第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天在雏鸭料里混入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30%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的育成鸭料，第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天将育成鸭料的比例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增加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到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60%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，第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天将育成鸭料的比例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增加到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80%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，从第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4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天起全部饲喂育成鸭料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育成期饲料的蛋白质含量一般为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16%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左右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，饲料符合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NY/T471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的规定。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.3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饲喂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放养鸭早晚各补料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次，若野外资源丰富可每天补料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次，遇下雨、刮风等放养时间少，需临时增加补料次数。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.4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放养日龄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宜在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20~30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日龄进行林下放养，具体可根据季节、天气以及放牧场环境条件适当调整。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.5 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密度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 xml:space="preserve"> 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果园、林地放养密度为每亩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8.6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放养方式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8.6.1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当放养地的植被覆盖面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&lt;40%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时，适时更换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场地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，实行分区轮牧。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8.6.2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同一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林地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第一批鸭出栏后，至少间隔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个月再放养第二批鸭，实行间隔轮牧。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8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7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放养地管护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放养过程中，根据放养肉鸭数量和放养地植被情况合理进行分区轮牧和间隔轮放。放养场地周围应设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米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以上的围栏，防止其他野生动物入侵。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9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疫病防控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9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.1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消毒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鸭舍进雏前应进行彻底清扫、洗刷、消毒，并至少空置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天以上，饲养期每周带鸭消毒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次以上，饮水器和料槽应每个饲养期要洗刷、消毒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次。饲养人员每次进入生产区要更衣、换鞋、消毒。场区、道路及鸭舍周围环境每周消毒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次，消毒池中的消毒液每周更换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次。卫生防疫符合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473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规定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消毒剂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393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472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要求。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9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免疫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肉鸭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1~3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日龄接种鸭病毒性肝炎疫苗，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5~7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日龄接种禽流感疫苗，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15~20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日龄接种鸭瘟疫苗，可</w:t>
      </w:r>
      <w:r w:rsidRPr="000522E8">
        <w:rPr>
          <w:rFonts w:ascii="Times New Roman" w:eastAsia="宋体" w:hAnsi="Times New Roman" w:cs="Times New Roman"/>
          <w:color w:val="000000" w:themeColor="text1"/>
          <w:szCs w:val="21"/>
        </w:rPr>
        <w:t>根据当地鸭疫病流行情况适当调整免疫程序。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免疫的方法可分注射、饮水、滴鼻滴眼、汽雾和穿刺法，可根据疫苗的种类、日龄、健康状况选择最适当的方法，疫苗的使用应符合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47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有关规定。</w:t>
      </w:r>
      <w:r w:rsidRPr="000522E8">
        <w:rPr>
          <w:rFonts w:ascii="Times New Roman" w:hAnsi="Times New Roman" w:cs="Times New Roman"/>
          <w:color w:val="000000" w:themeColor="text1"/>
        </w:rPr>
        <w:t>免疫程序参见附录</w:t>
      </w:r>
      <w:r w:rsidRPr="000522E8">
        <w:rPr>
          <w:rFonts w:ascii="Times New Roman" w:hAnsi="Times New Roman" w:cs="Times New Roman"/>
          <w:color w:val="000000" w:themeColor="text1"/>
        </w:rPr>
        <w:t>B</w:t>
      </w:r>
      <w:r w:rsidRPr="000522E8">
        <w:rPr>
          <w:rFonts w:ascii="Times New Roman" w:hAnsi="Times New Roman" w:cs="Times New Roman"/>
          <w:color w:val="000000" w:themeColor="text1"/>
        </w:rPr>
        <w:t>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9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.3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用药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兽药的使用符合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472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有关规定，应严格实施休药期。所用兽药必须来自具有《兽药生产许可证》和产品批准文号的生产企业，或者具有《进口兽药许可证》和《兽药经营许可证》的供应商。所用兽药的标签应符合《兽药管理条例》的规定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10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出栏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及运输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lastRenderedPageBreak/>
        <w:t>出栏前要禁食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 h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 h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，出栏时间不少于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40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日龄，符合《动物检疫管理办法》有关规定。运输车辆及设备应洁净、无污染，符合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1056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的有关要求。</w:t>
      </w:r>
    </w:p>
    <w:p w:rsidR="0055599A" w:rsidRPr="000522E8" w:rsidRDefault="00B9565B">
      <w:pPr>
        <w:spacing w:line="400" w:lineRule="exac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11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废弃物处理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病死鸭无害化处理应符合《病死及病害动物无害化处理技术规范》的有关规定，污水、粪便排放符合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GB 18596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的有关规定。</w:t>
      </w:r>
    </w:p>
    <w:p w:rsidR="0055599A" w:rsidRPr="000522E8" w:rsidRDefault="00B9565B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44"/>
          <w:szCs w:val="21"/>
        </w:rPr>
      </w:pP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1</w:t>
      </w:r>
      <w:r w:rsidRPr="000522E8">
        <w:rPr>
          <w:rFonts w:ascii="Times New Roman" w:eastAsia="黑体" w:hAnsi="Times New Roman" w:cs="Times New Roman" w:hint="eastAsia"/>
          <w:color w:val="000000" w:themeColor="text1"/>
          <w:kern w:val="44"/>
          <w:szCs w:val="21"/>
        </w:rPr>
        <w:t>2</w:t>
      </w:r>
      <w:r w:rsidRPr="000522E8">
        <w:rPr>
          <w:rFonts w:ascii="Times New Roman" w:eastAsia="黑体" w:hAnsi="Times New Roman" w:cs="Times New Roman"/>
          <w:color w:val="000000" w:themeColor="text1"/>
          <w:kern w:val="44"/>
          <w:szCs w:val="21"/>
        </w:rPr>
        <w:t>档案管理</w:t>
      </w:r>
    </w:p>
    <w:p w:rsidR="0055599A" w:rsidRPr="000522E8" w:rsidRDefault="00B9565B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</w:rPr>
      </w:pP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按照《畜禽标识和养殖档案管理办法》的规定建立进雏、饲料、用药、免疫等养殖档案，档案记录保存</w:t>
      </w:r>
      <w:r w:rsidRPr="000522E8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3</w:t>
      </w:r>
      <w:r w:rsidRPr="000522E8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年以上</w:t>
      </w:r>
      <w:r w:rsidRPr="000522E8">
        <w:rPr>
          <w:rFonts w:ascii="Times New Roman" w:eastAsia="宋体" w:hAnsi="Times New Roman" w:cs="Times New Roman"/>
          <w:color w:val="000000" w:themeColor="text1"/>
        </w:rPr>
        <w:t>。</w:t>
      </w:r>
    </w:p>
    <w:p w:rsidR="0055599A" w:rsidRPr="000522E8" w:rsidRDefault="0055599A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B9565B">
      <w:pPr>
        <w:spacing w:before="68" w:line="310" w:lineRule="exact"/>
        <w:jc w:val="center"/>
        <w:rPr>
          <w:rFonts w:ascii="黑体" w:eastAsia="黑体" w:hAnsi="黑体" w:cs="黑体"/>
          <w:color w:val="000000" w:themeColor="text1"/>
          <w:szCs w:val="21"/>
        </w:rPr>
      </w:pPr>
      <w:r w:rsidRPr="000522E8">
        <w:rPr>
          <w:rFonts w:ascii="黑体" w:eastAsia="黑体" w:hAnsi="黑体" w:cs="黑体" w:hint="eastAsia"/>
          <w:color w:val="000000" w:themeColor="text1"/>
          <w:spacing w:val="-3"/>
          <w:position w:val="7"/>
          <w:szCs w:val="21"/>
        </w:rPr>
        <w:t>附</w:t>
      </w:r>
      <w:r w:rsidRPr="000522E8">
        <w:rPr>
          <w:rFonts w:ascii="黑体" w:eastAsia="黑体" w:hAnsi="黑体" w:cs="黑体" w:hint="eastAsia"/>
          <w:color w:val="000000" w:themeColor="text1"/>
          <w:spacing w:val="-2"/>
          <w:position w:val="7"/>
          <w:szCs w:val="21"/>
        </w:rPr>
        <w:t xml:space="preserve">  录 A</w:t>
      </w:r>
    </w:p>
    <w:p w:rsidR="0055599A" w:rsidRPr="000522E8" w:rsidRDefault="00B9565B">
      <w:pPr>
        <w:spacing w:line="222" w:lineRule="auto"/>
        <w:jc w:val="center"/>
        <w:rPr>
          <w:rFonts w:ascii="黑体" w:eastAsia="黑体" w:hAnsi="黑体" w:cs="黑体"/>
          <w:color w:val="000000" w:themeColor="text1"/>
          <w:spacing w:val="10"/>
          <w:szCs w:val="21"/>
        </w:rPr>
      </w:pPr>
      <w:r w:rsidRPr="000522E8">
        <w:rPr>
          <w:rFonts w:ascii="黑体" w:eastAsia="黑体" w:hAnsi="黑体" w:cs="黑体" w:hint="eastAsia"/>
          <w:color w:val="000000" w:themeColor="text1"/>
          <w:spacing w:val="11"/>
          <w:szCs w:val="21"/>
        </w:rPr>
        <w:t>(</w:t>
      </w:r>
      <w:r w:rsidRPr="000522E8">
        <w:rPr>
          <w:rFonts w:ascii="黑体" w:eastAsia="黑体" w:hAnsi="黑体" w:cs="黑体" w:hint="eastAsia"/>
          <w:color w:val="000000" w:themeColor="text1"/>
          <w:spacing w:val="10"/>
          <w:szCs w:val="21"/>
        </w:rPr>
        <w:t>资料性附录)</w:t>
      </w:r>
    </w:p>
    <w:p w:rsidR="0055599A" w:rsidRPr="000522E8" w:rsidRDefault="00B9565B">
      <w:pPr>
        <w:spacing w:line="222" w:lineRule="auto"/>
        <w:jc w:val="center"/>
        <w:rPr>
          <w:rFonts w:ascii="黑体" w:eastAsia="黑体" w:hAnsi="黑体" w:cs="黑体"/>
          <w:color w:val="000000" w:themeColor="text1"/>
          <w:szCs w:val="21"/>
        </w:rPr>
      </w:pPr>
      <w:r w:rsidRPr="000522E8">
        <w:rPr>
          <w:rFonts w:ascii="黑体" w:eastAsia="黑体" w:hAnsi="黑体" w:cs="黑体" w:hint="eastAsia"/>
          <w:color w:val="000000" w:themeColor="text1"/>
          <w:spacing w:val="-1"/>
          <w:szCs w:val="21"/>
        </w:rPr>
        <w:t>肉</w:t>
      </w:r>
      <w:r w:rsidRPr="000522E8">
        <w:rPr>
          <w:rFonts w:ascii="黑体" w:eastAsia="黑体" w:hAnsi="黑体" w:cs="黑体"/>
          <w:color w:val="000000" w:themeColor="text1"/>
          <w:szCs w:val="21"/>
        </w:rPr>
        <w:t>鸭各阶段营养需要</w:t>
      </w:r>
      <w:r w:rsidRPr="000522E8">
        <w:rPr>
          <w:rFonts w:ascii="黑体" w:eastAsia="黑体" w:hAnsi="黑体" w:cs="黑体" w:hint="eastAsia"/>
          <w:color w:val="000000" w:themeColor="text1"/>
          <w:szCs w:val="21"/>
        </w:rPr>
        <w:t>参考</w:t>
      </w:r>
      <w:r w:rsidRPr="000522E8">
        <w:rPr>
          <w:rFonts w:ascii="黑体" w:eastAsia="黑体" w:hAnsi="黑体" w:cs="黑体"/>
          <w:color w:val="000000" w:themeColor="text1"/>
          <w:szCs w:val="21"/>
        </w:rPr>
        <w:t>推荐量</w:t>
      </w:r>
    </w:p>
    <w:p w:rsidR="00282D99" w:rsidRPr="000522E8" w:rsidRDefault="00282D99">
      <w:pPr>
        <w:spacing w:line="222" w:lineRule="auto"/>
        <w:jc w:val="center"/>
        <w:rPr>
          <w:rFonts w:ascii="黑体" w:eastAsia="黑体" w:hAnsi="黑体" w:cs="黑体"/>
          <w:color w:val="000000" w:themeColor="text1"/>
          <w:szCs w:val="21"/>
        </w:rPr>
      </w:pPr>
    </w:p>
    <w:p w:rsidR="00282D99" w:rsidRPr="000522E8" w:rsidRDefault="00282D99" w:rsidP="000522E8">
      <w:pPr>
        <w:spacing w:line="222" w:lineRule="auto"/>
        <w:jc w:val="left"/>
        <w:rPr>
          <w:rFonts w:ascii="宋体" w:eastAsia="宋体" w:hAnsi="宋体" w:cs="黑体"/>
          <w:color w:val="000000" w:themeColor="text1"/>
          <w:szCs w:val="21"/>
        </w:rPr>
      </w:pPr>
      <w:r w:rsidRPr="000522E8">
        <w:rPr>
          <w:rFonts w:ascii="宋体" w:eastAsia="宋体" w:hAnsi="宋体" w:cs="黑体" w:hint="eastAsia"/>
          <w:color w:val="000000" w:themeColor="text1"/>
          <w:spacing w:val="-1"/>
          <w:szCs w:val="21"/>
        </w:rPr>
        <w:t>肉</w:t>
      </w:r>
      <w:r w:rsidRPr="000522E8">
        <w:rPr>
          <w:rFonts w:ascii="宋体" w:eastAsia="宋体" w:hAnsi="宋体" w:cs="黑体"/>
          <w:color w:val="000000" w:themeColor="text1"/>
          <w:szCs w:val="21"/>
        </w:rPr>
        <w:t>鸭各阶段营养需要</w:t>
      </w:r>
      <w:r w:rsidRPr="000522E8">
        <w:rPr>
          <w:rFonts w:ascii="宋体" w:eastAsia="宋体" w:hAnsi="宋体" w:cs="黑体" w:hint="eastAsia"/>
          <w:color w:val="000000" w:themeColor="text1"/>
          <w:szCs w:val="21"/>
        </w:rPr>
        <w:t>参考</w:t>
      </w:r>
      <w:r w:rsidRPr="000522E8">
        <w:rPr>
          <w:rFonts w:ascii="宋体" w:eastAsia="宋体" w:hAnsi="宋体" w:cs="黑体"/>
          <w:color w:val="000000" w:themeColor="text1"/>
          <w:szCs w:val="21"/>
        </w:rPr>
        <w:t>推荐量</w:t>
      </w:r>
      <w:r w:rsidRPr="000522E8">
        <w:rPr>
          <w:rFonts w:ascii="宋体" w:eastAsia="宋体" w:hAnsi="宋体" w:cs="黑体" w:hint="eastAsia"/>
          <w:color w:val="000000" w:themeColor="text1"/>
          <w:szCs w:val="21"/>
        </w:rPr>
        <w:t>见</w:t>
      </w:r>
      <w:r w:rsidRPr="000522E8">
        <w:rPr>
          <w:rFonts w:ascii="宋体" w:eastAsia="宋体" w:hAnsi="宋体" w:cs="黑体" w:hint="eastAsia"/>
          <w:color w:val="000000" w:themeColor="text1"/>
          <w:spacing w:val="-1"/>
          <w:szCs w:val="21"/>
        </w:rPr>
        <w:t>表A.1</w:t>
      </w:r>
      <w:r w:rsidRPr="000522E8">
        <w:rPr>
          <w:rFonts w:ascii="宋体" w:eastAsia="宋体" w:hAnsi="宋体" w:cs="黑体" w:hint="eastAsia"/>
          <w:color w:val="000000" w:themeColor="text1"/>
          <w:szCs w:val="21"/>
        </w:rPr>
        <w:t>。</w:t>
      </w:r>
    </w:p>
    <w:p w:rsidR="00282D99" w:rsidRPr="000522E8" w:rsidRDefault="00282D99">
      <w:pPr>
        <w:spacing w:line="222" w:lineRule="auto"/>
        <w:jc w:val="center"/>
        <w:rPr>
          <w:rFonts w:ascii="黑体" w:eastAsia="黑体" w:hAnsi="黑体" w:cs="黑体"/>
          <w:color w:val="000000" w:themeColor="text1"/>
          <w:szCs w:val="21"/>
        </w:rPr>
      </w:pPr>
      <w:r w:rsidRPr="000522E8">
        <w:rPr>
          <w:rFonts w:ascii="黑体" w:eastAsia="黑体" w:hAnsi="黑体" w:cs="黑体" w:hint="eastAsia"/>
          <w:color w:val="000000" w:themeColor="text1"/>
          <w:spacing w:val="-1"/>
          <w:szCs w:val="21"/>
        </w:rPr>
        <w:t>表A.1 肉</w:t>
      </w:r>
      <w:r w:rsidRPr="000522E8">
        <w:rPr>
          <w:rFonts w:ascii="黑体" w:eastAsia="黑体" w:hAnsi="黑体" w:cs="黑体"/>
          <w:color w:val="000000" w:themeColor="text1"/>
          <w:szCs w:val="21"/>
        </w:rPr>
        <w:t>鸭各阶段营养需要</w:t>
      </w:r>
      <w:r w:rsidRPr="000522E8">
        <w:rPr>
          <w:rFonts w:ascii="黑体" w:eastAsia="黑体" w:hAnsi="黑体" w:cs="黑体" w:hint="eastAsia"/>
          <w:color w:val="000000" w:themeColor="text1"/>
          <w:szCs w:val="21"/>
        </w:rPr>
        <w:t>参考</w:t>
      </w:r>
      <w:r w:rsidRPr="000522E8">
        <w:rPr>
          <w:rFonts w:ascii="黑体" w:eastAsia="黑体" w:hAnsi="黑体" w:cs="黑体"/>
          <w:color w:val="000000" w:themeColor="text1"/>
          <w:szCs w:val="21"/>
        </w:rPr>
        <w:t>推荐量</w:t>
      </w:r>
    </w:p>
    <w:tbl>
      <w:tblPr>
        <w:tblStyle w:val="TableNormal"/>
        <w:tblW w:w="5000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32"/>
        <w:gridCol w:w="1528"/>
        <w:gridCol w:w="1516"/>
        <w:gridCol w:w="1530"/>
        <w:gridCol w:w="1526"/>
      </w:tblGrid>
      <w:tr w:rsidR="000522E8" w:rsidRPr="000522E8" w:rsidTr="00B67A34">
        <w:trPr>
          <w:trHeight w:val="345"/>
          <w:jc w:val="center"/>
        </w:trPr>
        <w:tc>
          <w:tcPr>
            <w:tcW w:w="1339" w:type="pct"/>
            <w:vMerge w:val="restart"/>
            <w:tcBorders>
              <w:left w:val="single" w:sz="10" w:space="0" w:color="000000"/>
              <w:bottom w:val="nil"/>
            </w:tcBorders>
            <w:vAlign w:val="center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项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目</w:t>
            </w:r>
          </w:p>
        </w:tc>
        <w:tc>
          <w:tcPr>
            <w:tcW w:w="3661" w:type="pct"/>
            <w:gridSpan w:val="4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日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龄</w:t>
            </w:r>
          </w:p>
        </w:tc>
      </w:tr>
      <w:tr w:rsidR="000522E8" w:rsidRPr="000522E8" w:rsidTr="00B67A34">
        <w:trPr>
          <w:trHeight w:val="349"/>
          <w:jc w:val="center"/>
        </w:trPr>
        <w:tc>
          <w:tcPr>
            <w:tcW w:w="1339" w:type="pct"/>
            <w:vMerge/>
            <w:tcBorders>
              <w:top w:val="nil"/>
              <w:left w:val="single" w:sz="10" w:space="0" w:color="000000"/>
              <w:bottom w:val="nil"/>
            </w:tcBorders>
          </w:tcPr>
          <w:p w:rsidR="0055599A" w:rsidRPr="000522E8" w:rsidRDefault="0055599A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917" w:type="pct"/>
            <w:vMerge w:val="restart"/>
            <w:tcBorders>
              <w:bottom w:val="nil"/>
            </w:tcBorders>
            <w:vAlign w:val="center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0~14</w:t>
            </w:r>
          </w:p>
        </w:tc>
        <w:tc>
          <w:tcPr>
            <w:tcW w:w="910" w:type="pct"/>
            <w:vMerge w:val="restart"/>
            <w:tcBorders>
              <w:bottom w:val="nil"/>
            </w:tcBorders>
            <w:vAlign w:val="center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15~35</w:t>
            </w:r>
          </w:p>
        </w:tc>
        <w:tc>
          <w:tcPr>
            <w:tcW w:w="1835" w:type="pct"/>
            <w:gridSpan w:val="2"/>
            <w:tcBorders>
              <w:right w:val="single" w:sz="10" w:space="0" w:color="000000"/>
            </w:tcBorders>
            <w:vAlign w:val="center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36~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出栏</w:t>
            </w:r>
          </w:p>
        </w:tc>
      </w:tr>
      <w:tr w:rsidR="000522E8" w:rsidRPr="000522E8" w:rsidTr="00B67A34">
        <w:trPr>
          <w:trHeight w:val="326"/>
          <w:jc w:val="center"/>
        </w:trPr>
        <w:tc>
          <w:tcPr>
            <w:tcW w:w="1339" w:type="pct"/>
            <w:vMerge/>
            <w:tcBorders>
              <w:top w:val="nil"/>
              <w:left w:val="single" w:sz="10" w:space="0" w:color="000000"/>
            </w:tcBorders>
          </w:tcPr>
          <w:p w:rsidR="0055599A" w:rsidRPr="000522E8" w:rsidRDefault="0055599A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917" w:type="pct"/>
            <w:vMerge/>
            <w:tcBorders>
              <w:top w:val="nil"/>
            </w:tcBorders>
            <w:vAlign w:val="center"/>
          </w:tcPr>
          <w:p w:rsidR="0055599A" w:rsidRPr="000522E8" w:rsidRDefault="0055599A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vAlign w:val="center"/>
          </w:tcPr>
          <w:p w:rsidR="0055599A" w:rsidRPr="000522E8" w:rsidRDefault="0055599A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918" w:type="pct"/>
            <w:vAlign w:val="center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自由采食</w:t>
            </w:r>
          </w:p>
        </w:tc>
        <w:tc>
          <w:tcPr>
            <w:tcW w:w="917" w:type="pct"/>
            <w:tcBorders>
              <w:right w:val="single" w:sz="10" w:space="0" w:color="000000"/>
            </w:tcBorders>
            <w:vAlign w:val="center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人工填饲</w:t>
            </w:r>
          </w:p>
        </w:tc>
      </w:tr>
      <w:tr w:rsidR="000522E8" w:rsidRPr="000522E8" w:rsidTr="00B67A34">
        <w:trPr>
          <w:trHeight w:val="32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代谢能，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MJ/kg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11.93~12.14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11.93~12.14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12.35~12.56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12.56~12.76</w:t>
            </w:r>
          </w:p>
        </w:tc>
      </w:tr>
      <w:tr w:rsidR="000522E8" w:rsidRPr="000522E8" w:rsidTr="00B67A34">
        <w:trPr>
          <w:trHeight w:val="319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粗蛋白，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20.00~22.00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16.50~17.50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15.00~16.00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13.00~14.00</w:t>
            </w:r>
          </w:p>
        </w:tc>
      </w:tr>
      <w:tr w:rsidR="000522E8" w:rsidRPr="000522E8" w:rsidTr="00B67A34">
        <w:trPr>
          <w:trHeight w:val="317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赖氨酸，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1.10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0.85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0.65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0.60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蛋氨酸，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0.45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0.40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0.35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0.30</w:t>
            </w:r>
          </w:p>
        </w:tc>
      </w:tr>
      <w:tr w:rsidR="000522E8" w:rsidRPr="000522E8" w:rsidTr="00B67A34">
        <w:trPr>
          <w:trHeight w:val="317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胱氨酸，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0.35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0.25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0.25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钙，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 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0.90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0.85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0.9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0.90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有效磷，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0.45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0.40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0.35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0.35</w:t>
            </w:r>
          </w:p>
        </w:tc>
      </w:tr>
      <w:tr w:rsidR="000522E8" w:rsidRPr="000522E8" w:rsidTr="00B67A34">
        <w:trPr>
          <w:trHeight w:val="319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钠，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%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0.15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0.15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0.15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0.15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维生素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A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IU/kg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4000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3000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2500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2500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维生素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D3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IU/kg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2000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2000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2000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2000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维生素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B1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2.0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1.5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1.5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1.5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维生素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B2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烟酸，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50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50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50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50</w:t>
            </w:r>
          </w:p>
        </w:tc>
      </w:tr>
      <w:tr w:rsidR="000522E8" w:rsidRPr="000522E8" w:rsidTr="00B67A34">
        <w:trPr>
          <w:trHeight w:val="319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泛酸，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吡多醇，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4.0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3.0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3.0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3.0</w:t>
            </w:r>
          </w:p>
        </w:tc>
      </w:tr>
      <w:tr w:rsidR="000522E8" w:rsidRPr="000522E8" w:rsidTr="00B67A34">
        <w:trPr>
          <w:trHeight w:val="317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胆碱，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1000</w:t>
            </w:r>
          </w:p>
        </w:tc>
      </w:tr>
      <w:tr w:rsidR="000522E8" w:rsidRPr="000522E8" w:rsidTr="00B67A34">
        <w:trPr>
          <w:trHeight w:val="317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锰，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100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锌，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</w:tr>
      <w:tr w:rsidR="000522E8" w:rsidRPr="000522E8" w:rsidTr="00B67A34">
        <w:trPr>
          <w:trHeight w:val="316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铁，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</w:tr>
      <w:tr w:rsidR="000522E8" w:rsidRPr="000522E8" w:rsidTr="00B67A34">
        <w:trPr>
          <w:trHeight w:val="319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铜，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</w:t>
            </w:r>
          </w:p>
        </w:tc>
      </w:tr>
      <w:tr w:rsidR="000522E8" w:rsidRPr="000522E8" w:rsidTr="00B67A34">
        <w:trPr>
          <w:trHeight w:val="317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碘，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0.2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0.2</w:t>
            </w:r>
          </w:p>
        </w:tc>
      </w:tr>
      <w:tr w:rsidR="000522E8" w:rsidRPr="000522E8" w:rsidTr="00B67A34">
        <w:trPr>
          <w:trHeight w:val="338"/>
          <w:jc w:val="center"/>
        </w:trPr>
        <w:tc>
          <w:tcPr>
            <w:tcW w:w="1339" w:type="pct"/>
            <w:tcBorders>
              <w:lef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硒，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mg/kg</w:t>
            </w:r>
          </w:p>
        </w:tc>
        <w:tc>
          <w:tcPr>
            <w:tcW w:w="917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</w:t>
            </w:r>
          </w:p>
        </w:tc>
        <w:tc>
          <w:tcPr>
            <w:tcW w:w="910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0.3</w:t>
            </w:r>
          </w:p>
        </w:tc>
        <w:tc>
          <w:tcPr>
            <w:tcW w:w="918" w:type="pct"/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0.2</w:t>
            </w:r>
          </w:p>
        </w:tc>
        <w:tc>
          <w:tcPr>
            <w:tcW w:w="917" w:type="pct"/>
            <w:tcBorders>
              <w:right w:val="single" w:sz="10" w:space="0" w:color="000000"/>
            </w:tcBorders>
          </w:tcPr>
          <w:p w:rsidR="0055599A" w:rsidRPr="000522E8" w:rsidRDefault="00B9565B" w:rsidP="00282D9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0.2</w:t>
            </w:r>
          </w:p>
        </w:tc>
      </w:tr>
    </w:tbl>
    <w:p w:rsidR="00282D99" w:rsidRPr="000522E8" w:rsidRDefault="00282D99">
      <w:pPr>
        <w:widowControl/>
        <w:jc w:val="left"/>
        <w:rPr>
          <w:rFonts w:ascii="黑体" w:eastAsia="黑体" w:hAnsi="宋体" w:cs="黑体"/>
          <w:color w:val="000000" w:themeColor="text1"/>
          <w:kern w:val="0"/>
          <w:szCs w:val="21"/>
          <w:lang w:bidi="ar"/>
        </w:rPr>
        <w:sectPr w:rsidR="00282D99" w:rsidRPr="000522E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5599A" w:rsidRPr="000522E8" w:rsidRDefault="00B9565B">
      <w:pPr>
        <w:widowControl/>
        <w:jc w:val="center"/>
        <w:rPr>
          <w:color w:val="000000" w:themeColor="text1"/>
        </w:rPr>
      </w:pPr>
      <w:r w:rsidRPr="000522E8">
        <w:rPr>
          <w:rFonts w:ascii="黑体" w:eastAsia="黑体" w:hAnsi="宋体" w:cs="黑体"/>
          <w:color w:val="000000" w:themeColor="text1"/>
          <w:kern w:val="0"/>
          <w:szCs w:val="21"/>
          <w:lang w:bidi="ar"/>
        </w:rPr>
        <w:lastRenderedPageBreak/>
        <w:t xml:space="preserve">附 录 </w:t>
      </w: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B</w:t>
      </w:r>
    </w:p>
    <w:p w:rsidR="0055599A" w:rsidRPr="000522E8" w:rsidRDefault="00B9565B">
      <w:pPr>
        <w:widowControl/>
        <w:jc w:val="center"/>
        <w:rPr>
          <w:rFonts w:ascii="黑体" w:eastAsia="黑体" w:hAnsi="宋体" w:cs="黑体"/>
          <w:color w:val="000000" w:themeColor="text1"/>
          <w:kern w:val="0"/>
          <w:szCs w:val="21"/>
          <w:lang w:bidi="ar"/>
        </w:rPr>
      </w:pP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(资料性附录)</w:t>
      </w:r>
    </w:p>
    <w:p w:rsidR="0055599A" w:rsidRPr="000522E8" w:rsidRDefault="00B9565B">
      <w:pPr>
        <w:widowControl/>
        <w:jc w:val="center"/>
        <w:rPr>
          <w:rFonts w:ascii="黑体" w:eastAsia="黑体" w:hAnsi="宋体" w:cs="黑体"/>
          <w:color w:val="000000" w:themeColor="text1"/>
          <w:kern w:val="0"/>
          <w:szCs w:val="21"/>
          <w:lang w:bidi="ar"/>
        </w:rPr>
      </w:pP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肉鸭</w:t>
      </w:r>
      <w:r w:rsidR="0038285F"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林下养殖</w:t>
      </w: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免疫参考程序</w:t>
      </w:r>
    </w:p>
    <w:p w:rsidR="0038285F" w:rsidRPr="000522E8" w:rsidRDefault="0038285F">
      <w:pPr>
        <w:widowControl/>
        <w:jc w:val="center"/>
        <w:rPr>
          <w:rFonts w:ascii="黑体" w:eastAsia="黑体" w:hAnsi="宋体" w:cs="黑体"/>
          <w:color w:val="000000" w:themeColor="text1"/>
          <w:kern w:val="0"/>
          <w:szCs w:val="21"/>
          <w:lang w:bidi="ar"/>
        </w:rPr>
      </w:pPr>
    </w:p>
    <w:p w:rsidR="0038285F" w:rsidRPr="000522E8" w:rsidRDefault="0038285F" w:rsidP="000522E8">
      <w:pPr>
        <w:widowControl/>
        <w:jc w:val="left"/>
        <w:rPr>
          <w:rFonts w:ascii="宋体" w:eastAsia="宋体" w:hAnsi="宋体"/>
          <w:color w:val="000000" w:themeColor="text1"/>
        </w:rPr>
      </w:pPr>
      <w:r w:rsidRPr="000522E8">
        <w:rPr>
          <w:rFonts w:ascii="宋体" w:eastAsia="宋体" w:hAnsi="宋体" w:cs="黑体" w:hint="eastAsia"/>
          <w:color w:val="000000" w:themeColor="text1"/>
          <w:kern w:val="0"/>
          <w:szCs w:val="21"/>
          <w:lang w:bidi="ar"/>
        </w:rPr>
        <w:t>肉鸭林下养殖免疫参考程序见表</w:t>
      </w:r>
      <w:r w:rsidRPr="000522E8">
        <w:rPr>
          <w:rFonts w:ascii="宋体" w:eastAsia="宋体" w:hAnsi="宋体" w:cs="黑体"/>
          <w:color w:val="000000" w:themeColor="text1"/>
          <w:kern w:val="0"/>
          <w:szCs w:val="21"/>
          <w:lang w:bidi="ar"/>
        </w:rPr>
        <w:t>B.1</w:t>
      </w:r>
      <w:r w:rsidRPr="000522E8">
        <w:rPr>
          <w:rFonts w:ascii="宋体" w:eastAsia="宋体" w:hAnsi="宋体" w:cs="黑体" w:hint="eastAsia"/>
          <w:color w:val="000000" w:themeColor="text1"/>
          <w:kern w:val="0"/>
          <w:szCs w:val="21"/>
          <w:lang w:bidi="ar"/>
        </w:rPr>
        <w:t>。</w:t>
      </w:r>
    </w:p>
    <w:p w:rsidR="0038285F" w:rsidRPr="000522E8" w:rsidRDefault="0038285F">
      <w:pPr>
        <w:widowControl/>
        <w:jc w:val="center"/>
        <w:rPr>
          <w:color w:val="000000" w:themeColor="text1"/>
        </w:rPr>
      </w:pP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表B.1 肉鸭林下养殖免疫参考程序</w:t>
      </w:r>
    </w:p>
    <w:tbl>
      <w:tblPr>
        <w:tblStyle w:val="TableNormal"/>
        <w:tblpPr w:leftFromText="180" w:rightFromText="180" w:vertAnchor="text" w:horzAnchor="page" w:tblpXSpec="center" w:tblpY="381"/>
        <w:tblOverlap w:val="never"/>
        <w:tblW w:w="5000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29"/>
        <w:gridCol w:w="3486"/>
        <w:gridCol w:w="2497"/>
      </w:tblGrid>
      <w:tr w:rsidR="000522E8" w:rsidRPr="000522E8" w:rsidTr="0038285F">
        <w:trPr>
          <w:trHeight w:val="536"/>
          <w:jc w:val="center"/>
        </w:trPr>
        <w:tc>
          <w:tcPr>
            <w:tcW w:w="1401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免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疫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时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间</w:t>
            </w:r>
          </w:p>
        </w:tc>
        <w:tc>
          <w:tcPr>
            <w:tcW w:w="2097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疫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苗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种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类</w:t>
            </w:r>
          </w:p>
        </w:tc>
        <w:tc>
          <w:tcPr>
            <w:tcW w:w="1502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接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种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方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法</w:t>
            </w:r>
          </w:p>
        </w:tc>
      </w:tr>
      <w:tr w:rsidR="000522E8" w:rsidRPr="000522E8" w:rsidTr="0038285F">
        <w:trPr>
          <w:trHeight w:val="527"/>
          <w:jc w:val="center"/>
        </w:trPr>
        <w:tc>
          <w:tcPr>
            <w:tcW w:w="1401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1-3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日龄</w:t>
            </w:r>
          </w:p>
        </w:tc>
        <w:tc>
          <w:tcPr>
            <w:tcW w:w="2097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鸭病毒性肝炎疫苗</w:t>
            </w:r>
          </w:p>
        </w:tc>
        <w:tc>
          <w:tcPr>
            <w:tcW w:w="1502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肌肉注射</w:t>
            </w:r>
          </w:p>
        </w:tc>
      </w:tr>
      <w:tr w:rsidR="000522E8" w:rsidRPr="000522E8" w:rsidTr="0038285F">
        <w:trPr>
          <w:trHeight w:val="532"/>
          <w:jc w:val="center"/>
        </w:trPr>
        <w:tc>
          <w:tcPr>
            <w:tcW w:w="1401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7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日龄</w:t>
            </w:r>
          </w:p>
        </w:tc>
        <w:tc>
          <w:tcPr>
            <w:tcW w:w="2097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传染性浆膜炎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+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大肠杆菌二联苗</w:t>
            </w:r>
          </w:p>
        </w:tc>
        <w:tc>
          <w:tcPr>
            <w:tcW w:w="1502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颈部皮下注射</w:t>
            </w:r>
          </w:p>
        </w:tc>
      </w:tr>
      <w:tr w:rsidR="000522E8" w:rsidRPr="000522E8" w:rsidTr="0038285F">
        <w:trPr>
          <w:trHeight w:val="527"/>
          <w:jc w:val="center"/>
        </w:trPr>
        <w:tc>
          <w:tcPr>
            <w:tcW w:w="1401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10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日龄</w:t>
            </w:r>
          </w:p>
        </w:tc>
        <w:tc>
          <w:tcPr>
            <w:tcW w:w="2097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鸭瘟疫苗</w:t>
            </w:r>
          </w:p>
        </w:tc>
        <w:tc>
          <w:tcPr>
            <w:tcW w:w="1502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肌肉注射</w:t>
            </w:r>
          </w:p>
        </w:tc>
      </w:tr>
      <w:tr w:rsidR="000522E8" w:rsidRPr="000522E8" w:rsidTr="0038285F">
        <w:trPr>
          <w:trHeight w:val="536"/>
          <w:jc w:val="center"/>
        </w:trPr>
        <w:tc>
          <w:tcPr>
            <w:tcW w:w="1401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 xml:space="preserve">14 </w:t>
            </w: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日龄</w:t>
            </w:r>
          </w:p>
        </w:tc>
        <w:tc>
          <w:tcPr>
            <w:tcW w:w="2097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禽流感疫苗</w:t>
            </w:r>
          </w:p>
        </w:tc>
        <w:tc>
          <w:tcPr>
            <w:tcW w:w="1502" w:type="pct"/>
          </w:tcPr>
          <w:p w:rsidR="0055599A" w:rsidRPr="000522E8" w:rsidRDefault="00B9565B" w:rsidP="0038285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</w:pPr>
            <w:r w:rsidRPr="000522E8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颈部皮下注射</w:t>
            </w:r>
          </w:p>
        </w:tc>
      </w:tr>
    </w:tbl>
    <w:p w:rsidR="0055599A" w:rsidRPr="000522E8" w:rsidRDefault="0055599A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B81469" w:rsidRDefault="00B81469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  <w:sectPr w:rsidR="00B8146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1469" w:rsidRDefault="00B81469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B81469" w:rsidRDefault="00B81469" w:rsidP="00B81469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附录</w:t>
      </w:r>
      <w:r>
        <w:rPr>
          <w:rFonts w:ascii="Times New Roman" w:eastAsia="黑体" w:hAnsi="Times New Roman" w:cs="Times New Roman" w:hint="eastAsia"/>
          <w:kern w:val="0"/>
          <w:szCs w:val="21"/>
        </w:rPr>
        <w:t>C</w:t>
      </w:r>
    </w:p>
    <w:p w:rsidR="00B81469" w:rsidRDefault="00B81469" w:rsidP="00B81469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（资料性附录）</w:t>
      </w:r>
    </w:p>
    <w:p w:rsidR="00B81469" w:rsidRDefault="00115517" w:rsidP="00B81469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肉鸭林下养殖</w:t>
      </w:r>
      <w:r w:rsidR="00B81469">
        <w:rPr>
          <w:rFonts w:ascii="Times New Roman" w:eastAsia="黑体" w:hAnsi="Times New Roman" w:cs="Times New Roman"/>
          <w:kern w:val="0"/>
          <w:szCs w:val="21"/>
        </w:rPr>
        <w:t>常用抗菌药及休药期</w:t>
      </w:r>
    </w:p>
    <w:p w:rsidR="00B81469" w:rsidRDefault="00B81469" w:rsidP="00B81469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115517" w:rsidRPr="00115517" w:rsidRDefault="00115517" w:rsidP="00115517">
      <w:pPr>
        <w:widowControl/>
        <w:jc w:val="left"/>
        <w:rPr>
          <w:rFonts w:ascii="宋体" w:eastAsia="宋体" w:hAnsi="宋体" w:cs="黑体"/>
          <w:color w:val="000000" w:themeColor="text1"/>
          <w:kern w:val="0"/>
          <w:szCs w:val="21"/>
          <w:lang w:bidi="ar"/>
        </w:rPr>
      </w:pPr>
      <w:r w:rsidRPr="00115517">
        <w:rPr>
          <w:rFonts w:ascii="宋体" w:eastAsia="宋体" w:hAnsi="宋体" w:cs="黑体" w:hint="eastAsia"/>
          <w:color w:val="000000" w:themeColor="text1"/>
          <w:kern w:val="0"/>
          <w:szCs w:val="21"/>
          <w:lang w:bidi="ar"/>
        </w:rPr>
        <w:t>肉鸭林下养殖</w:t>
      </w:r>
      <w:r w:rsidRPr="00115517">
        <w:rPr>
          <w:rFonts w:ascii="宋体" w:eastAsia="宋体" w:hAnsi="宋体" w:cs="黑体"/>
          <w:color w:val="000000" w:themeColor="text1"/>
          <w:kern w:val="0"/>
          <w:szCs w:val="21"/>
          <w:lang w:bidi="ar"/>
        </w:rPr>
        <w:t>常用抗菌药及休药期</w:t>
      </w:r>
      <w:r w:rsidRPr="00115517">
        <w:rPr>
          <w:rFonts w:ascii="宋体" w:eastAsia="宋体" w:hAnsi="宋体" w:cs="黑体" w:hint="eastAsia"/>
          <w:color w:val="000000" w:themeColor="text1"/>
          <w:kern w:val="0"/>
          <w:szCs w:val="21"/>
          <w:lang w:bidi="ar"/>
        </w:rPr>
        <w:t>见表C.1。</w:t>
      </w:r>
    </w:p>
    <w:p w:rsidR="00115517" w:rsidRDefault="00115517" w:rsidP="00B81469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表</w:t>
      </w:r>
      <w:r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C</w:t>
      </w:r>
      <w:r w:rsidRPr="000522E8">
        <w:rPr>
          <w:rFonts w:ascii="黑体" w:eastAsia="黑体" w:hAnsi="宋体" w:cs="黑体" w:hint="eastAsia"/>
          <w:color w:val="000000" w:themeColor="text1"/>
          <w:kern w:val="0"/>
          <w:szCs w:val="21"/>
          <w:lang w:bidi="ar"/>
        </w:rPr>
        <w:t>.1 肉鸭林下养殖</w:t>
      </w:r>
      <w:r>
        <w:rPr>
          <w:rFonts w:ascii="Times New Roman" w:eastAsia="黑体" w:hAnsi="Times New Roman" w:cs="Times New Roman"/>
          <w:kern w:val="0"/>
          <w:szCs w:val="21"/>
        </w:rPr>
        <w:t>常用抗菌药及休药期</w:t>
      </w:r>
    </w:p>
    <w:tbl>
      <w:tblPr>
        <w:tblStyle w:val="aa"/>
        <w:tblW w:w="8570" w:type="dxa"/>
        <w:jc w:val="center"/>
        <w:tblLayout w:type="fixed"/>
        <w:tblLook w:val="04A0" w:firstRow="1" w:lastRow="0" w:firstColumn="1" w:lastColumn="0" w:noHBand="0" w:noVBand="1"/>
      </w:tblPr>
      <w:tblGrid>
        <w:gridCol w:w="1293"/>
        <w:gridCol w:w="954"/>
        <w:gridCol w:w="1006"/>
        <w:gridCol w:w="1032"/>
        <w:gridCol w:w="3074"/>
        <w:gridCol w:w="1211"/>
      </w:tblGrid>
      <w:tr w:rsidR="00B81469" w:rsidTr="00B81469">
        <w:trPr>
          <w:trHeight w:val="564"/>
          <w:jc w:val="center"/>
        </w:trPr>
        <w:tc>
          <w:tcPr>
            <w:tcW w:w="1293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兽药种类</w:t>
            </w:r>
          </w:p>
        </w:tc>
        <w:tc>
          <w:tcPr>
            <w:tcW w:w="95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药物名称</w:t>
            </w:r>
          </w:p>
        </w:tc>
        <w:tc>
          <w:tcPr>
            <w:tcW w:w="1006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常见剂型</w:t>
            </w: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使用方法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使用剂量</w:t>
            </w:r>
          </w:p>
        </w:tc>
        <w:tc>
          <w:tcPr>
            <w:tcW w:w="1211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休药期，天</w:t>
            </w:r>
          </w:p>
        </w:tc>
      </w:tr>
      <w:tr w:rsidR="00B81469" w:rsidTr="00B81469">
        <w:trPr>
          <w:trHeight w:val="615"/>
          <w:jc w:val="center"/>
        </w:trPr>
        <w:tc>
          <w:tcPr>
            <w:tcW w:w="1293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β-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内酰胺类</w:t>
            </w:r>
          </w:p>
        </w:tc>
        <w:tc>
          <w:tcPr>
            <w:tcW w:w="954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阿莫西林</w:t>
            </w:r>
          </w:p>
        </w:tc>
        <w:tc>
          <w:tcPr>
            <w:tcW w:w="1006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每升水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50 mg</w:t>
            </w:r>
          </w:p>
        </w:tc>
        <w:tc>
          <w:tcPr>
            <w:tcW w:w="1211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</w:t>
            </w:r>
          </w:p>
        </w:tc>
      </w:tr>
      <w:tr w:rsidR="00B81469" w:rsidTr="00B81469">
        <w:trPr>
          <w:trHeight w:val="668"/>
          <w:jc w:val="center"/>
        </w:trPr>
        <w:tc>
          <w:tcPr>
            <w:tcW w:w="1293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混饲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每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1kg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料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200~500 mg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3~5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</w:t>
            </w:r>
          </w:p>
        </w:tc>
        <w:tc>
          <w:tcPr>
            <w:tcW w:w="1211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B81469" w:rsidTr="00B81469">
        <w:trPr>
          <w:trHeight w:val="860"/>
          <w:jc w:val="center"/>
        </w:trPr>
        <w:tc>
          <w:tcPr>
            <w:tcW w:w="1293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氨基糖苷类</w:t>
            </w:r>
          </w:p>
        </w:tc>
        <w:tc>
          <w:tcPr>
            <w:tcW w:w="95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大观霉素</w:t>
            </w:r>
          </w:p>
        </w:tc>
        <w:tc>
          <w:tcPr>
            <w:tcW w:w="1006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每升水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500~1000 mg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3~5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</w:t>
            </w:r>
          </w:p>
        </w:tc>
        <w:tc>
          <w:tcPr>
            <w:tcW w:w="1211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B81469" w:rsidTr="00B81469">
        <w:trPr>
          <w:trHeight w:val="885"/>
          <w:jc w:val="center"/>
        </w:trPr>
        <w:tc>
          <w:tcPr>
            <w:tcW w:w="1293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大环内酯类</w:t>
            </w:r>
          </w:p>
        </w:tc>
        <w:tc>
          <w:tcPr>
            <w:tcW w:w="95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红霉素</w:t>
            </w:r>
          </w:p>
        </w:tc>
        <w:tc>
          <w:tcPr>
            <w:tcW w:w="1006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每升水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125 mg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3~5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</w:t>
            </w:r>
          </w:p>
        </w:tc>
        <w:tc>
          <w:tcPr>
            <w:tcW w:w="1211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</w:p>
        </w:tc>
      </w:tr>
      <w:tr w:rsidR="00B81469" w:rsidTr="00B81469">
        <w:trPr>
          <w:trHeight w:val="766"/>
          <w:jc w:val="center"/>
        </w:trPr>
        <w:tc>
          <w:tcPr>
            <w:tcW w:w="1293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酰胺醇类</w:t>
            </w:r>
          </w:p>
        </w:tc>
        <w:tc>
          <w:tcPr>
            <w:tcW w:w="95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氟苯尼考</w:t>
            </w:r>
          </w:p>
        </w:tc>
        <w:tc>
          <w:tcPr>
            <w:tcW w:w="1006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散剂</w:t>
            </w: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内服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一次量，每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1kg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体重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20~30 mg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，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次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天，连用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3~5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</w:t>
            </w:r>
          </w:p>
        </w:tc>
        <w:tc>
          <w:tcPr>
            <w:tcW w:w="1211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B81469" w:rsidTr="00B81469">
        <w:trPr>
          <w:trHeight w:val="754"/>
          <w:jc w:val="center"/>
        </w:trPr>
        <w:tc>
          <w:tcPr>
            <w:tcW w:w="1293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林可胺类</w:t>
            </w:r>
          </w:p>
        </w:tc>
        <w:tc>
          <w:tcPr>
            <w:tcW w:w="954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林可霉素</w:t>
            </w:r>
          </w:p>
        </w:tc>
        <w:tc>
          <w:tcPr>
            <w:tcW w:w="1006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可溶性粉、散剂</w:t>
            </w: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每升水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200~300 mg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3~5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</w:t>
            </w:r>
          </w:p>
        </w:tc>
        <w:tc>
          <w:tcPr>
            <w:tcW w:w="1211" w:type="dxa"/>
            <w:vMerge w:val="restart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B81469" w:rsidTr="00B81469">
        <w:trPr>
          <w:trHeight w:val="666"/>
          <w:jc w:val="center"/>
        </w:trPr>
        <w:tc>
          <w:tcPr>
            <w:tcW w:w="1293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混饲</w:t>
            </w:r>
          </w:p>
        </w:tc>
        <w:tc>
          <w:tcPr>
            <w:tcW w:w="3074" w:type="dxa"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每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1kg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料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30~50 mg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3~5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天</w:t>
            </w:r>
          </w:p>
        </w:tc>
        <w:tc>
          <w:tcPr>
            <w:tcW w:w="1211" w:type="dxa"/>
            <w:vMerge/>
            <w:vAlign w:val="center"/>
          </w:tcPr>
          <w:p w:rsidR="00B81469" w:rsidRDefault="00B81469" w:rsidP="009D712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</w:tbl>
    <w:p w:rsidR="00B81469" w:rsidRDefault="00B81469" w:rsidP="00B81469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>注：用药要求以最新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>NY/T 472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>绿色食品兽药使用准则为准。</w:t>
      </w:r>
    </w:p>
    <w:p w:rsidR="00B81469" w:rsidRPr="00B81469" w:rsidRDefault="00B81469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</w:p>
    <w:p w:rsidR="0055599A" w:rsidRPr="000522E8" w:rsidRDefault="000522E8">
      <w:pPr>
        <w:spacing w:line="400" w:lineRule="exact"/>
        <w:rPr>
          <w:rFonts w:ascii="Times New Roman" w:eastAsia="宋体" w:hAnsi="Times New Roman" w:cs="Times New Roman"/>
          <w:color w:val="000000" w:themeColor="text1"/>
        </w:rPr>
      </w:pPr>
      <w:r w:rsidRPr="000522E8">
        <w:rPr>
          <w:rFonts w:ascii="Times New Roman" w:eastAsia="宋体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3A0B0" wp14:editId="6FB87100">
                <wp:simplePos x="0" y="0"/>
                <wp:positionH relativeFrom="column">
                  <wp:posOffset>1778620</wp:posOffset>
                </wp:positionH>
                <wp:positionV relativeFrom="paragraph">
                  <wp:posOffset>165704</wp:posOffset>
                </wp:positionV>
                <wp:extent cx="1906858" cy="0"/>
                <wp:effectExtent l="0" t="0" r="3683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685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D39665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05pt,13.05pt" to="290.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" strokecolor="black [3213]" strokeweight=".5pt">
                <v:stroke joinstyle="miter"/>
              </v:line>
            </w:pict>
          </mc:Fallback>
        </mc:AlternateContent>
      </w:r>
    </w:p>
    <w:sectPr w:rsidR="0055599A" w:rsidRPr="00052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0DD" w:rsidRDefault="006660DD">
      <w:r>
        <w:separator/>
      </w:r>
    </w:p>
  </w:endnote>
  <w:endnote w:type="continuationSeparator" w:id="0">
    <w:p w:rsidR="006660DD" w:rsidRDefault="0066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99A" w:rsidRDefault="00B9565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50C3B3B" wp14:editId="21492C9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5599A" w:rsidRDefault="00B9565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464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0C3B3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5599A" w:rsidRDefault="00B9565B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464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0DD" w:rsidRDefault="006660DD">
      <w:r>
        <w:separator/>
      </w:r>
    </w:p>
  </w:footnote>
  <w:footnote w:type="continuationSeparator" w:id="0">
    <w:p w:rsidR="006660DD" w:rsidRDefault="00666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MDI0MzgyN2VmZjY4ZjMxMzg4ZDBiZThiYzdjNTYifQ=="/>
  </w:docVars>
  <w:rsids>
    <w:rsidRoot w:val="2B882648"/>
    <w:rsid w:val="000522E8"/>
    <w:rsid w:val="00115517"/>
    <w:rsid w:val="001244CD"/>
    <w:rsid w:val="0013244C"/>
    <w:rsid w:val="001B73DE"/>
    <w:rsid w:val="00282D99"/>
    <w:rsid w:val="0038285F"/>
    <w:rsid w:val="0055599A"/>
    <w:rsid w:val="005F255D"/>
    <w:rsid w:val="006516D1"/>
    <w:rsid w:val="006660DD"/>
    <w:rsid w:val="00A4648E"/>
    <w:rsid w:val="00A60DB4"/>
    <w:rsid w:val="00AC5E74"/>
    <w:rsid w:val="00B67A34"/>
    <w:rsid w:val="00B81469"/>
    <w:rsid w:val="00B9565B"/>
    <w:rsid w:val="00C80AC8"/>
    <w:rsid w:val="00D53156"/>
    <w:rsid w:val="00E66DD5"/>
    <w:rsid w:val="00E85B3B"/>
    <w:rsid w:val="00F8262D"/>
    <w:rsid w:val="00FF6640"/>
    <w:rsid w:val="04BC5126"/>
    <w:rsid w:val="07F4584C"/>
    <w:rsid w:val="0B433313"/>
    <w:rsid w:val="0B6D2518"/>
    <w:rsid w:val="0B976257"/>
    <w:rsid w:val="0D0C53E6"/>
    <w:rsid w:val="1092654A"/>
    <w:rsid w:val="11DF58B0"/>
    <w:rsid w:val="148B12E6"/>
    <w:rsid w:val="1977452F"/>
    <w:rsid w:val="1C1E0055"/>
    <w:rsid w:val="205E08B6"/>
    <w:rsid w:val="219E3476"/>
    <w:rsid w:val="222B5842"/>
    <w:rsid w:val="2B882648"/>
    <w:rsid w:val="2EA27501"/>
    <w:rsid w:val="2F376043"/>
    <w:rsid w:val="3001646A"/>
    <w:rsid w:val="30F1527B"/>
    <w:rsid w:val="33D333F3"/>
    <w:rsid w:val="36646036"/>
    <w:rsid w:val="3A0D6176"/>
    <w:rsid w:val="3A683CF4"/>
    <w:rsid w:val="3AC62558"/>
    <w:rsid w:val="3C862210"/>
    <w:rsid w:val="3E0203F7"/>
    <w:rsid w:val="3E9373CF"/>
    <w:rsid w:val="478D56A7"/>
    <w:rsid w:val="4B842010"/>
    <w:rsid w:val="53DC50DF"/>
    <w:rsid w:val="547A48F8"/>
    <w:rsid w:val="59DB396D"/>
    <w:rsid w:val="5CFD7E74"/>
    <w:rsid w:val="61FF01EB"/>
    <w:rsid w:val="64283A29"/>
    <w:rsid w:val="68370978"/>
    <w:rsid w:val="68C72389"/>
    <w:rsid w:val="7306762B"/>
    <w:rsid w:val="74B344CF"/>
    <w:rsid w:val="771340C5"/>
    <w:rsid w:val="7B7843E5"/>
    <w:rsid w:val="7FA0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7D74A8A-C885-4FA4-BEEF-6FB363E8E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1"/>
    <w:next w:val="a1"/>
    <w:qFormat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7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8">
    <w:name w:val="二级无"/>
    <w:basedOn w:val="a0"/>
    <w:qFormat/>
    <w:pPr>
      <w:spacing w:beforeLines="0" w:before="0" w:afterLines="0" w:after="0"/>
      <w:ind w:left="0"/>
    </w:pPr>
    <w:rPr>
      <w:rFonts w:ascii="宋体" w:eastAsia="宋体"/>
    </w:rPr>
  </w:style>
  <w:style w:type="paragraph" w:customStyle="1" w:styleId="a0">
    <w:name w:val="二级条标题"/>
    <w:basedOn w:val="a"/>
    <w:next w:val="a7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7"/>
    <w:qFormat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1"/>
    <w:link w:val="Char"/>
    <w:rsid w:val="001244CD"/>
    <w:rPr>
      <w:sz w:val="18"/>
      <w:szCs w:val="18"/>
    </w:rPr>
  </w:style>
  <w:style w:type="character" w:customStyle="1" w:styleId="Char">
    <w:name w:val="批注框文本 Char"/>
    <w:basedOn w:val="a2"/>
    <w:link w:val="a9"/>
    <w:rsid w:val="001244CD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a">
    <w:name w:val="Table Grid"/>
    <w:basedOn w:val="a3"/>
    <w:uiPriority w:val="39"/>
    <w:qFormat/>
    <w:rsid w:val="00B81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655</Words>
  <Characters>3736</Characters>
  <Application>Microsoft Office Word</Application>
  <DocSecurity>0</DocSecurity>
  <Lines>31</Lines>
  <Paragraphs>8</Paragraphs>
  <ScaleCrop>false</ScaleCrop>
  <Company>Microsoft</Company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15</cp:revision>
  <dcterms:created xsi:type="dcterms:W3CDTF">2022-11-02T01:00:00Z</dcterms:created>
  <dcterms:modified xsi:type="dcterms:W3CDTF">2023-04-28T01:33:00Z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FE9F9BD41E3D4BB6B756F2F1C5F03A38</vt:lpwstr>
  </property>
</Properties>
</file>