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D8" w:rsidRDefault="00BA2AD8" w:rsidP="00BA2AD8">
      <w:pPr>
        <w:pStyle w:val="1"/>
        <w:spacing w:beforeLines="50" w:afterLines="50" w:line="360" w:lineRule="auto"/>
        <w:ind w:left="357" w:firstLineChars="0" w:firstLine="0"/>
        <w:contextualSpacing/>
        <w:jc w:val="distribute"/>
        <w:rPr>
          <w:rFonts w:ascii="SimHei" w:eastAsiaTheme="minorEastAsia" w:hAnsi="SimHei" w:cs="SimSun" w:hint="eastAsia"/>
          <w:sz w:val="48"/>
          <w:szCs w:val="48"/>
        </w:rPr>
      </w:pPr>
    </w:p>
    <w:p w:rsidR="009F044E" w:rsidRDefault="009F189B" w:rsidP="00BA2AD8">
      <w:pPr>
        <w:pStyle w:val="1"/>
        <w:spacing w:beforeLines="50" w:afterLines="50" w:line="360" w:lineRule="auto"/>
        <w:ind w:left="357" w:firstLineChars="0" w:firstLine="0"/>
        <w:contextualSpacing/>
        <w:jc w:val="distribute"/>
        <w:rPr>
          <w:rFonts w:ascii="SimHei" w:eastAsia="SimHei" w:hAnsi="SimHei" w:cs="SimSun"/>
          <w:sz w:val="48"/>
          <w:szCs w:val="48"/>
        </w:rPr>
      </w:pPr>
      <w:r>
        <w:rPr>
          <w:rFonts w:ascii="SimHei" w:eastAsia="SimHei" w:hAnsi="SimHei" w:cs="SimSun"/>
          <w:sz w:val="48"/>
          <w:szCs w:val="48"/>
        </w:rPr>
        <w:t>绿色食品生产操作规程</w:t>
      </w:r>
    </w:p>
    <w:p w:rsidR="009F044E" w:rsidRPr="00BA2AD8" w:rsidRDefault="009F189B" w:rsidP="00BA2AD8">
      <w:pPr>
        <w:pStyle w:val="1"/>
        <w:spacing w:beforeLines="50" w:afterLines="50" w:line="360" w:lineRule="auto"/>
        <w:ind w:left="357" w:firstLineChars="0" w:firstLine="0"/>
        <w:contextualSpacing/>
        <w:jc w:val="right"/>
        <w:rPr>
          <w:rFonts w:ascii="SimHei" w:eastAsiaTheme="minorEastAsia" w:hAnsi="SimHei" w:cs="SimSun" w:hint="eastAsia"/>
          <w:sz w:val="28"/>
          <w:szCs w:val="28"/>
        </w:rPr>
      </w:pPr>
      <w:r>
        <w:rPr>
          <w:rFonts w:ascii="Calibri" w:eastAsia="SimHei" w:hAnsi="Calibri"/>
          <w:bCs/>
          <w:sz w:val="28"/>
          <w:szCs w:val="28"/>
        </w:rPr>
        <w:t xml:space="preserve">            </w:t>
      </w:r>
      <w:r>
        <w:rPr>
          <w:rFonts w:ascii="SimHei" w:eastAsia="SimHei" w:hAnsi="SimHei" w:cs="SimSun"/>
          <w:sz w:val="28"/>
          <w:szCs w:val="28"/>
        </w:rPr>
        <w:t xml:space="preserve"> LB/T</w:t>
      </w:r>
      <w:r w:rsidR="00BA2AD8">
        <w:rPr>
          <w:rFonts w:ascii="SimHei" w:eastAsiaTheme="minorEastAsia" w:hAnsi="SimHei" w:cs="SimSun" w:hint="eastAsia"/>
          <w:sz w:val="28"/>
          <w:szCs w:val="28"/>
        </w:rPr>
        <w:t xml:space="preserve"> 208</w:t>
      </w:r>
      <w:r>
        <w:rPr>
          <w:rFonts w:ascii="SimHei" w:eastAsia="SimHei" w:hAnsi="SimHei" w:cs="SimSun"/>
          <w:sz w:val="28"/>
          <w:szCs w:val="28"/>
        </w:rPr>
        <w:t>-20</w:t>
      </w:r>
      <w:r w:rsidR="00BA2AD8">
        <w:rPr>
          <w:rFonts w:ascii="SimHei" w:eastAsiaTheme="minorEastAsia" w:hAnsi="SimHei" w:cs="SimSun" w:hint="eastAsia"/>
          <w:sz w:val="28"/>
          <w:szCs w:val="28"/>
        </w:rPr>
        <w:t>21</w:t>
      </w:r>
    </w:p>
    <w:p w:rsidR="009F044E" w:rsidRDefault="00693B91" w:rsidP="00BA2AD8">
      <w:pPr>
        <w:pStyle w:val="1"/>
        <w:spacing w:beforeLines="50" w:afterLines="50" w:line="360" w:lineRule="auto"/>
        <w:ind w:left="357" w:firstLineChars="0" w:firstLine="0"/>
        <w:contextualSpacing/>
        <w:jc w:val="right"/>
        <w:rPr>
          <w:rFonts w:eastAsia="SimHei"/>
          <w:sz w:val="28"/>
          <w:szCs w:val="28"/>
        </w:rPr>
      </w:pPr>
      <w:r>
        <w:rPr>
          <w:rFonts w:eastAsia="SimHei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12.6pt;margin-top:6pt;width:407.4pt;height:0;z-index:251657216" o:gfxdata="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I4a30DUAAAACAEAAA8AAAAAAAAAAQAgAAAAOAAAAGRycy9kb3ducmV2Lnht&#10;bFBLAQIUABQAAAAIAIdO4kBKvxEc5wEAAKwDAAAOAAAAAAAAAAEAIAAAADkBAABkcnMvZTJvRG9j&#10;LnhtbFBLBQYAAAAABgAGAFkBAACSBQAAAAA=&#10;"/>
        </w:pict>
      </w: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sz w:val="48"/>
          <w:szCs w:val="48"/>
        </w:rPr>
      </w:pPr>
    </w:p>
    <w:p w:rsidR="009F044E" w:rsidRDefault="009F189B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Calibri" w:eastAsia="SimHei" w:hAnsi="Calibri"/>
          <w:sz w:val="48"/>
          <w:szCs w:val="48"/>
        </w:rPr>
      </w:pPr>
      <w:r>
        <w:rPr>
          <w:rFonts w:ascii="Calibri" w:eastAsia="SimHei" w:hAnsi="Calibri" w:hint="eastAsia"/>
          <w:sz w:val="48"/>
          <w:szCs w:val="48"/>
        </w:rPr>
        <w:t>绿色食品</w:t>
      </w:r>
      <w:r>
        <w:rPr>
          <w:rFonts w:ascii="Calibri" w:eastAsia="SimHei" w:hAnsi="Calibri"/>
          <w:sz w:val="48"/>
          <w:szCs w:val="48"/>
        </w:rPr>
        <w:t xml:space="preserve"> </w:t>
      </w:r>
      <w:r>
        <w:rPr>
          <w:rFonts w:ascii="Calibri" w:eastAsia="SimHei" w:hAnsi="Calibri" w:hint="eastAsia"/>
          <w:sz w:val="48"/>
          <w:szCs w:val="48"/>
        </w:rPr>
        <w:t>草鱼</w:t>
      </w:r>
      <w:bookmarkStart w:id="0" w:name="OLE_LINK293"/>
      <w:bookmarkStart w:id="1" w:name="OLE_LINK292"/>
      <w:r>
        <w:rPr>
          <w:rFonts w:ascii="Calibri" w:eastAsia="SimHei" w:hAnsi="Calibri" w:hint="eastAsia"/>
          <w:sz w:val="48"/>
          <w:szCs w:val="48"/>
        </w:rPr>
        <w:t>池塘养殖</w:t>
      </w:r>
      <w:bookmarkEnd w:id="0"/>
      <w:bookmarkEnd w:id="1"/>
      <w:r>
        <w:rPr>
          <w:rFonts w:ascii="Calibri" w:eastAsia="SimHei" w:hAnsi="Calibri" w:hint="eastAsia"/>
          <w:sz w:val="48"/>
          <w:szCs w:val="48"/>
        </w:rPr>
        <w:t>规程</w:t>
      </w: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Theme="minorEastAsia" w:hint="eastAsia"/>
          <w:sz w:val="32"/>
          <w:szCs w:val="32"/>
        </w:rPr>
      </w:pPr>
    </w:p>
    <w:p w:rsidR="00D84A3A" w:rsidRDefault="00D84A3A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Theme="minorEastAsia" w:hint="eastAsia"/>
          <w:sz w:val="32"/>
          <w:szCs w:val="32"/>
        </w:rPr>
      </w:pPr>
    </w:p>
    <w:p w:rsidR="00D84A3A" w:rsidRPr="00D84A3A" w:rsidRDefault="00D84A3A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Theme="minorEastAsia" w:hint="eastAsia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Theme="minorEastAsia" w:hint="eastAsia"/>
          <w:sz w:val="32"/>
          <w:szCs w:val="32"/>
        </w:rPr>
      </w:pPr>
    </w:p>
    <w:p w:rsidR="00D84A3A" w:rsidRPr="00D84A3A" w:rsidRDefault="00D84A3A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Theme="minorEastAsia" w:hint="eastAsia"/>
          <w:sz w:val="32"/>
          <w:szCs w:val="32"/>
        </w:rPr>
      </w:pPr>
    </w:p>
    <w:p w:rsidR="009F044E" w:rsidRDefault="00693B91" w:rsidP="00BA2AD8">
      <w:pPr>
        <w:pStyle w:val="1"/>
        <w:spacing w:beforeLines="50" w:afterLines="50" w:line="360" w:lineRule="auto"/>
        <w:ind w:left="357" w:firstLineChars="0" w:firstLine="0"/>
        <w:contextualSpacing/>
        <w:rPr>
          <w:rFonts w:ascii="SimHei" w:eastAsia="SimHei" w:hAnsi="SimHei" w:cs="SimSun"/>
          <w:sz w:val="28"/>
          <w:szCs w:val="28"/>
        </w:rPr>
      </w:pPr>
      <w:r>
        <w:rPr>
          <w:rFonts w:ascii="SimHei" w:eastAsia="SimHei" w:hAnsi="SimHei" w:cs="SimSun"/>
          <w:sz w:val="28"/>
          <w:szCs w:val="28"/>
        </w:rPr>
        <w:pict>
          <v:shape id="直接箭头连接符 1" o:spid="_x0000_s1027" type="#_x0000_t32" style="position:absolute;left:0;text-align:left;margin-left:16.2pt;margin-top:30.45pt;width:382.2pt;height:1.2pt;z-index:251658240" o:gfxdata="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MJf9knXAAAACAEAAA8AAAAAAAAAAQAgAAAAOAAAAGRycy9kb3du&#10;cmV2LnhtbFBLAQIUABQAAAAIAIdO4kDZvx+g6gEAALADAAAOAAAAAAAAAAEAIAAAADwBAABkcnMv&#10;ZTJvRG9jLnhtbFBLBQYAAAAABgAGAFkBAACYBQAAAAA=&#10;"/>
        </w:pict>
      </w:r>
      <w:r w:rsidR="00BA2AD8">
        <w:rPr>
          <w:rFonts w:eastAsia="黑体" w:hint="eastAsia"/>
          <w:sz w:val="28"/>
          <w:szCs w:val="28"/>
        </w:rPr>
        <w:t>2021-09-26</w:t>
      </w:r>
      <w:r w:rsidR="009F189B">
        <w:rPr>
          <w:rFonts w:ascii="SimHei" w:eastAsia="SimHei" w:hAnsi="SimHei" w:cs="SimSun"/>
          <w:sz w:val="28"/>
          <w:szCs w:val="28"/>
        </w:rPr>
        <w:t xml:space="preserve">发布        </w:t>
      </w:r>
      <w:r w:rsidR="00BA2AD8">
        <w:rPr>
          <w:rFonts w:ascii="SimHei" w:eastAsiaTheme="minorEastAsia" w:hAnsi="SimHei" w:cs="SimSun" w:hint="eastAsia"/>
          <w:sz w:val="28"/>
          <w:szCs w:val="28"/>
        </w:rPr>
        <w:t xml:space="preserve">       </w:t>
      </w:r>
      <w:r w:rsidR="009F189B">
        <w:rPr>
          <w:rFonts w:ascii="SimHei" w:eastAsia="SimHei" w:hAnsi="SimHei" w:cs="SimSun"/>
          <w:sz w:val="28"/>
          <w:szCs w:val="28"/>
        </w:rPr>
        <w:t xml:space="preserve"> </w:t>
      </w:r>
      <w:r w:rsidR="00BA2AD8">
        <w:rPr>
          <w:rFonts w:ascii="SimHei" w:eastAsiaTheme="minorEastAsia" w:hAnsi="SimHei" w:cs="SimSun" w:hint="eastAsia"/>
          <w:sz w:val="28"/>
          <w:szCs w:val="28"/>
        </w:rPr>
        <w:t xml:space="preserve">   </w:t>
      </w:r>
      <w:r w:rsidR="009F189B">
        <w:rPr>
          <w:rFonts w:ascii="SimHei" w:eastAsia="SimHei" w:hAnsi="SimHei" w:cs="SimSun"/>
          <w:sz w:val="28"/>
          <w:szCs w:val="28"/>
        </w:rPr>
        <w:t xml:space="preserve">     </w:t>
      </w:r>
      <w:r w:rsidR="00BA2AD8">
        <w:rPr>
          <w:rFonts w:eastAsia="黑体" w:hint="eastAsia"/>
          <w:sz w:val="28"/>
          <w:szCs w:val="28"/>
        </w:rPr>
        <w:t>2021-10-01</w:t>
      </w:r>
      <w:r w:rsidR="009F189B">
        <w:rPr>
          <w:rFonts w:ascii="SimHei" w:eastAsia="SimHei" w:hAnsi="SimHei" w:cs="SimSun"/>
          <w:sz w:val="28"/>
          <w:szCs w:val="28"/>
        </w:rPr>
        <w:t>实施</w:t>
      </w:r>
    </w:p>
    <w:p w:rsidR="00D84A3A" w:rsidRDefault="00D84A3A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华文中宋" w:eastAsia="华文中宋" w:hAnsi="华文中宋" w:cs="SimSun" w:hint="eastAsia"/>
          <w:b/>
          <w:bCs/>
          <w:spacing w:val="71"/>
          <w:sz w:val="32"/>
          <w:szCs w:val="32"/>
        </w:rPr>
      </w:pPr>
    </w:p>
    <w:p w:rsidR="009F044E" w:rsidRDefault="009F189B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b/>
          <w:bCs/>
          <w:sz w:val="28"/>
          <w:szCs w:val="28"/>
        </w:rPr>
      </w:pPr>
      <w:r>
        <w:rPr>
          <w:rFonts w:ascii="华文中宋" w:eastAsia="华文中宋" w:hAnsi="华文中宋" w:cs="SimSun" w:hint="eastAsia"/>
          <w:b/>
          <w:bCs/>
          <w:spacing w:val="71"/>
          <w:sz w:val="32"/>
          <w:szCs w:val="32"/>
        </w:rPr>
        <w:t>中国绿色食品发展中</w:t>
      </w:r>
      <w:r>
        <w:rPr>
          <w:rFonts w:ascii="华文中宋" w:eastAsia="华文中宋" w:hAnsi="华文中宋" w:cs="SimSun" w:hint="eastAsia"/>
          <w:b/>
          <w:bCs/>
          <w:spacing w:val="1"/>
          <w:sz w:val="32"/>
          <w:szCs w:val="32"/>
        </w:rPr>
        <w:t>心</w:t>
      </w:r>
      <w:r>
        <w:rPr>
          <w:rFonts w:ascii="华文中宋" w:eastAsia="华文中宋" w:hAnsi="华文中宋" w:cs="SimSun" w:hint="eastAsia"/>
          <w:b/>
          <w:bCs/>
          <w:sz w:val="32"/>
          <w:szCs w:val="32"/>
        </w:rPr>
        <w:t xml:space="preserve">  </w:t>
      </w:r>
      <w:r>
        <w:rPr>
          <w:rFonts w:ascii="SimHei" w:eastAsia="SimHei" w:hAnsi="SimHei" w:cs="SimSun" w:hint="eastAsia"/>
          <w:b/>
          <w:bCs/>
          <w:sz w:val="28"/>
          <w:szCs w:val="28"/>
        </w:rPr>
        <w:t>发 布</w:t>
      </w:r>
    </w:p>
    <w:p w:rsidR="009F044E" w:rsidRDefault="009F189B">
      <w:pPr>
        <w:pStyle w:val="afa"/>
        <w:rPr>
          <w:rFonts w:ascii="Times New Roman"/>
        </w:rPr>
      </w:pPr>
      <w:r>
        <w:rPr>
          <w:rFonts w:ascii="Times New Roman"/>
        </w:rPr>
        <w:lastRenderedPageBreak/>
        <w:t>前</w:t>
      </w:r>
      <w:r>
        <w:rPr>
          <w:rFonts w:ascii="Times New Roman"/>
        </w:rPr>
        <w:t xml:space="preserve">  </w:t>
      </w:r>
      <w:r>
        <w:rPr>
          <w:rFonts w:ascii="Times New Roman"/>
        </w:rPr>
        <w:t>言</w:t>
      </w:r>
      <w:r>
        <w:rPr>
          <w:rFonts w:ascii="Times New Roman" w:hint="eastAsia"/>
        </w:rPr>
        <w:t xml:space="preserve"> </w:t>
      </w:r>
    </w:p>
    <w:p w:rsidR="009F044E" w:rsidRDefault="009F044E" w:rsidP="00BA2A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sz w:val="32"/>
          <w:szCs w:val="32"/>
          <w:highlight w:val="yellow"/>
        </w:rPr>
      </w:pPr>
    </w:p>
    <w:p w:rsidR="009F044E" w:rsidRDefault="009F189B">
      <w:pPr>
        <w:pStyle w:val="1"/>
        <w:spacing w:line="360" w:lineRule="auto"/>
        <w:ind w:firstLine="480"/>
        <w:contextualSpacing/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由中国绿色食品发展中心提出并归口。</w:t>
      </w:r>
    </w:p>
    <w:p w:rsidR="009F044E" w:rsidRDefault="009F189B">
      <w:pPr>
        <w:pStyle w:val="1"/>
        <w:spacing w:line="360" w:lineRule="auto"/>
        <w:ind w:firstLine="480"/>
        <w:contextualSpacing/>
        <w:rPr>
          <w:rFonts w:eastAsiaTheme="minorEastAsia"/>
        </w:rPr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起草单位：中国水产科学研究院东海水产研究所、上海市农产品质量安全中心、</w:t>
      </w:r>
      <w:r w:rsidR="0008610B">
        <w:rPr>
          <w:rFonts w:eastAsiaTheme="minorEastAsia" w:hint="eastAsia"/>
        </w:rPr>
        <w:t>中国绿色食品发展中心、</w:t>
      </w:r>
      <w:r>
        <w:rPr>
          <w:rFonts w:hint="eastAsia"/>
        </w:rPr>
        <w:t>广东省农产品质量安全中心、安徽</w:t>
      </w:r>
      <w:r>
        <w:t>省绿色食品管理办公室</w:t>
      </w:r>
      <w:r>
        <w:rPr>
          <w:rFonts w:hint="eastAsia"/>
        </w:rPr>
        <w:t>、四川省绿色食品发展中心</w:t>
      </w:r>
    </w:p>
    <w:p w:rsidR="009F044E" w:rsidRDefault="009F189B">
      <w:pPr>
        <w:pStyle w:val="1"/>
        <w:spacing w:line="360" w:lineRule="auto"/>
        <w:ind w:firstLine="480"/>
        <w:contextualSpacing/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主要起草人：来琦芳、么宗利、孙真、张维谊、</w:t>
      </w:r>
      <w:r w:rsidR="0008610B">
        <w:rPr>
          <w:rFonts w:eastAsiaTheme="minorEastAsia" w:hint="eastAsia"/>
        </w:rPr>
        <w:t>张宪、</w:t>
      </w:r>
      <w:r>
        <w:rPr>
          <w:rFonts w:hint="eastAsia"/>
        </w:rPr>
        <w:t>欧阳英、高照荣、周熙、周凯、高鹏程</w:t>
      </w:r>
      <w:r>
        <w:t>、</w:t>
      </w:r>
      <w:r>
        <w:rPr>
          <w:rFonts w:hint="eastAsia"/>
        </w:rPr>
        <w:t>杜宗君</w:t>
      </w:r>
    </w:p>
    <w:p w:rsidR="009F044E" w:rsidRDefault="009F044E">
      <w:pPr>
        <w:pStyle w:val="1"/>
        <w:spacing w:line="360" w:lineRule="auto"/>
        <w:ind w:firstLine="480"/>
        <w:contextualSpacing/>
      </w:pPr>
    </w:p>
    <w:p w:rsidR="009F044E" w:rsidRDefault="009F189B">
      <w:pPr>
        <w:pStyle w:val="afa"/>
        <w:spacing w:line="360" w:lineRule="auto"/>
        <w:rPr>
          <w:rFonts w:ascii="Times New Roman"/>
        </w:rPr>
      </w:pPr>
      <w:r>
        <w:rPr>
          <w:rFonts w:ascii="Times New Roman" w:hint="eastAsia"/>
        </w:rPr>
        <w:lastRenderedPageBreak/>
        <w:t>绿色食品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草鱼池塘养殖规程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范围</w:t>
      </w:r>
    </w:p>
    <w:p w:rsidR="009F044E" w:rsidRDefault="009F189B">
      <w:pPr>
        <w:pStyle w:val="af7"/>
        <w:spacing w:line="360" w:lineRule="auto"/>
        <w:rPr>
          <w:rFonts w:hAnsi="SimSun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eastAsiaTheme="minorEastAsia" w:hint="eastAsia"/>
          <w:szCs w:val="21"/>
        </w:rPr>
        <w:t>规程</w:t>
      </w:r>
      <w:r>
        <w:rPr>
          <w:rFonts w:ascii="Times New Roman" w:hint="eastAsia"/>
          <w:szCs w:val="21"/>
        </w:rPr>
        <w:t>规定了</w:t>
      </w:r>
      <w:r>
        <w:rPr>
          <w:rFonts w:ascii="Times New Roman"/>
          <w:szCs w:val="21"/>
        </w:rPr>
        <w:t>绿色食品草鱼（</w:t>
      </w:r>
      <w:r>
        <w:rPr>
          <w:rFonts w:ascii="Times New Roman" w:hint="eastAsia"/>
          <w:i/>
          <w:szCs w:val="21"/>
        </w:rPr>
        <w:t>Ctenopharyngodon idella</w:t>
      </w:r>
      <w:r>
        <w:rPr>
          <w:rFonts w:ascii="Times New Roman"/>
          <w:szCs w:val="21"/>
        </w:rPr>
        <w:t>）池塘养殖</w:t>
      </w:r>
      <w:r>
        <w:rPr>
          <w:rFonts w:hAnsi="SimSun" w:hint="eastAsia"/>
          <w:szCs w:val="21"/>
        </w:rPr>
        <w:t>产地环境、池塘条件、养殖水质管理、苗种放养、饲料、病害防治、收获、包装、储存和运输、尾水及废弃物处理、日常管理等各个环节应遵循的准则和要求。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hint="eastAsia"/>
          <w:szCs w:val="21"/>
        </w:rPr>
        <w:t>文</w:t>
      </w:r>
      <w:r>
        <w:rPr>
          <w:rFonts w:ascii="Times New Roman" w:eastAsiaTheme="minorEastAsia" w:hint="eastAsia"/>
          <w:szCs w:val="21"/>
        </w:rPr>
        <w:t>规程</w:t>
      </w:r>
      <w:r>
        <w:rPr>
          <w:rFonts w:ascii="Times New Roman"/>
          <w:szCs w:val="21"/>
        </w:rPr>
        <w:t>适用于绿色食品草鱼</w:t>
      </w:r>
      <w:r>
        <w:rPr>
          <w:rFonts w:ascii="Times New Roman" w:hint="eastAsia"/>
          <w:szCs w:val="21"/>
        </w:rPr>
        <w:t>成鱼</w:t>
      </w:r>
      <w:r>
        <w:rPr>
          <w:rFonts w:ascii="Times New Roman"/>
          <w:szCs w:val="21"/>
        </w:rPr>
        <w:t>池塘养殖。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规范性引用文件</w:t>
      </w:r>
    </w:p>
    <w:p w:rsidR="009F044E" w:rsidRDefault="009F189B" w:rsidP="00BA2AD8">
      <w:pPr>
        <w:pStyle w:val="1"/>
        <w:spacing w:beforeLines="50" w:afterLines="50" w:line="360" w:lineRule="auto"/>
        <w:contextualSpacing/>
        <w:rPr>
          <w:rFonts w:ascii="SimSun" w:hAnsi="SimSun" w:cs="SimSun"/>
          <w:sz w:val="21"/>
        </w:rPr>
      </w:pPr>
      <w:r>
        <w:rPr>
          <w:rFonts w:ascii="SimSun" w:hAnsi="SimSun" w:cs="SimSun"/>
          <w:sz w:val="21"/>
        </w:rPr>
        <w:t>下列文件</w:t>
      </w:r>
      <w:r>
        <w:rPr>
          <w:rFonts w:ascii="SimSun" w:hAnsi="SimSun" w:cs="SimSun" w:hint="eastAsia"/>
          <w:sz w:val="21"/>
        </w:rPr>
        <w:t>中的内容通过文中的规范性引用而构成本文件必不可少的条款。其中，</w:t>
      </w:r>
      <w:r>
        <w:rPr>
          <w:rFonts w:ascii="SimSun" w:hAnsi="SimSun" w:cs="SimSun"/>
          <w:sz w:val="21"/>
        </w:rPr>
        <w:t>注日期的引用文件，仅</w:t>
      </w:r>
      <w:r>
        <w:rPr>
          <w:rFonts w:ascii="SimSun" w:hAnsi="SimSun" w:cs="SimSun" w:hint="eastAsia"/>
          <w:sz w:val="21"/>
        </w:rPr>
        <w:t>该</w:t>
      </w:r>
      <w:r>
        <w:rPr>
          <w:rFonts w:ascii="SimSun" w:hAnsi="SimSun" w:cs="SimSun"/>
          <w:sz w:val="21"/>
        </w:rPr>
        <w:t>日期</w:t>
      </w:r>
      <w:r>
        <w:rPr>
          <w:rFonts w:ascii="SimSun" w:hAnsi="SimSun" w:cs="SimSun" w:hint="eastAsia"/>
          <w:sz w:val="21"/>
        </w:rPr>
        <w:t>对应</w:t>
      </w:r>
      <w:r>
        <w:rPr>
          <w:rFonts w:ascii="SimSun" w:hAnsi="SimSun" w:cs="SimSun"/>
          <w:sz w:val="21"/>
        </w:rPr>
        <w:t>的版本适用于本文件</w:t>
      </w:r>
      <w:r>
        <w:rPr>
          <w:rFonts w:ascii="SimSun" w:hAnsi="SimSun" w:cs="SimSun" w:hint="eastAsia"/>
          <w:sz w:val="21"/>
        </w:rPr>
        <w:t>；</w:t>
      </w:r>
      <w:r>
        <w:rPr>
          <w:rFonts w:ascii="SimSun" w:hAnsi="SimSun" w:cs="SimSun"/>
          <w:sz w:val="21"/>
        </w:rPr>
        <w:t>不注日期的引用文件，其最新版本（包括所有的修改单）适用于本文件。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2" w:name="OLE_LINK374"/>
      <w:bookmarkStart w:id="3" w:name="OLE_LINK373"/>
      <w:r>
        <w:rPr>
          <w:sz w:val="21"/>
        </w:rPr>
        <w:t xml:space="preserve">GB 11607 </w:t>
      </w:r>
      <w:r>
        <w:rPr>
          <w:sz w:val="21"/>
        </w:rPr>
        <w:t>渔业水质标准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GB 11776  </w:t>
      </w:r>
      <w:r>
        <w:rPr>
          <w:rFonts w:ascii="Times New Roman" w:hAnsi="Times New Roman" w:cs="Times New Roman"/>
          <w:sz w:val="21"/>
          <w:szCs w:val="21"/>
        </w:rPr>
        <w:t>草鱼鱼苗、鱼种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rFonts w:hint="eastAsia"/>
          <w:sz w:val="21"/>
        </w:rPr>
        <w:t>GB/T 17715</w:t>
      </w:r>
      <w:r>
        <w:rPr>
          <w:rFonts w:hint="eastAsia"/>
          <w:sz w:val="21"/>
        </w:rPr>
        <w:t>草鱼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>GB/T 20014.13</w:t>
      </w:r>
      <w:bookmarkEnd w:id="2"/>
      <w:bookmarkEnd w:id="3"/>
      <w:r>
        <w:rPr>
          <w:sz w:val="21"/>
        </w:rPr>
        <w:t xml:space="preserve"> </w:t>
      </w:r>
      <w:r>
        <w:rPr>
          <w:sz w:val="21"/>
        </w:rPr>
        <w:t>良好农业规范</w:t>
      </w:r>
      <w:r>
        <w:rPr>
          <w:sz w:val="21"/>
        </w:rPr>
        <w:t xml:space="preserve"> </w:t>
      </w:r>
      <w:r>
        <w:rPr>
          <w:sz w:val="21"/>
        </w:rPr>
        <w:t>第</w:t>
      </w:r>
      <w:r>
        <w:rPr>
          <w:sz w:val="21"/>
        </w:rPr>
        <w:t>13</w:t>
      </w:r>
      <w:r>
        <w:rPr>
          <w:sz w:val="21"/>
        </w:rPr>
        <w:t>部分：水产养殖基础控制点与符合性规范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GB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ascii="Times New Roman" w:hAnsi="Times New Roman" w:cs="Times New Roman" w:hint="eastAsia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 xml:space="preserve"> 36205 </w:t>
      </w:r>
      <w:r>
        <w:rPr>
          <w:rFonts w:ascii="Times New Roman" w:hAnsi="Times New Roman" w:cs="Times New Roman"/>
          <w:sz w:val="21"/>
          <w:szCs w:val="21"/>
        </w:rPr>
        <w:t>草鱼配合饲料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4" w:name="OLE_LINK111"/>
      <w:bookmarkStart w:id="5" w:name="OLE_LINK112"/>
      <w:bookmarkStart w:id="6" w:name="OLE_LINK368"/>
      <w:bookmarkStart w:id="7" w:name="OLE_LINK367"/>
      <w:r>
        <w:rPr>
          <w:sz w:val="21"/>
        </w:rPr>
        <w:t>NY/T 391</w:t>
      </w:r>
      <w:bookmarkEnd w:id="4"/>
      <w:bookmarkEnd w:id="5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 </w:t>
      </w:r>
      <w:r>
        <w:rPr>
          <w:sz w:val="21"/>
        </w:rPr>
        <w:t>产地环境</w:t>
      </w:r>
      <w:r>
        <w:rPr>
          <w:rFonts w:hint="eastAsia"/>
          <w:sz w:val="21"/>
        </w:rPr>
        <w:t>质量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393 </w:t>
      </w:r>
      <w:r>
        <w:rPr>
          <w:sz w:val="21"/>
        </w:rPr>
        <w:t>绿色食品</w:t>
      </w:r>
      <w:r>
        <w:rPr>
          <w:rFonts w:hint="eastAsia"/>
          <w:sz w:val="21"/>
        </w:rPr>
        <w:t xml:space="preserve"> </w:t>
      </w:r>
      <w:r>
        <w:rPr>
          <w:sz w:val="21"/>
        </w:rPr>
        <w:t>农药使用准则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>NY/T 471</w:t>
      </w:r>
      <w:bookmarkEnd w:id="6"/>
      <w:bookmarkEnd w:id="7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饲料及饲料添加剂使用准则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658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包装通用准则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8" w:name="OLE_LINK369"/>
      <w:bookmarkStart w:id="9" w:name="OLE_LINK370"/>
      <w:r>
        <w:rPr>
          <w:sz w:val="21"/>
        </w:rPr>
        <w:t>NY/T 755</w:t>
      </w:r>
      <w:bookmarkEnd w:id="8"/>
      <w:bookmarkEnd w:id="9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渔药使用准则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0" w:name="OLE_LINK376"/>
      <w:bookmarkStart w:id="11" w:name="OLE_LINK375"/>
      <w:r>
        <w:rPr>
          <w:sz w:val="21"/>
        </w:rPr>
        <w:t>NY/T 842</w:t>
      </w:r>
      <w:bookmarkEnd w:id="10"/>
      <w:bookmarkEnd w:id="11"/>
      <w:r>
        <w:rPr>
          <w:sz w:val="21"/>
        </w:rPr>
        <w:t xml:space="preserve">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鱼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1055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产品检验规则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1056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贮藏运输准则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2" w:name="OLE_LINK378"/>
      <w:bookmarkStart w:id="13" w:name="OLE_LINK377"/>
      <w:r>
        <w:rPr>
          <w:sz w:val="21"/>
        </w:rPr>
        <w:t xml:space="preserve">NY/T 3204 </w:t>
      </w:r>
      <w:r>
        <w:rPr>
          <w:sz w:val="21"/>
        </w:rPr>
        <w:t>农产品质量安全追溯操作规程</w:t>
      </w:r>
      <w:r>
        <w:rPr>
          <w:sz w:val="21"/>
        </w:rPr>
        <w:t xml:space="preserve"> </w:t>
      </w:r>
      <w:r>
        <w:rPr>
          <w:sz w:val="21"/>
        </w:rPr>
        <w:t>水产品</w:t>
      </w:r>
      <w:bookmarkEnd w:id="12"/>
      <w:bookmarkEnd w:id="13"/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3616 </w:t>
      </w:r>
      <w:r>
        <w:rPr>
          <w:rFonts w:hint="eastAsia"/>
          <w:sz w:val="21"/>
        </w:rPr>
        <w:t>水产养殖场建设规范</w:t>
      </w:r>
    </w:p>
    <w:p w:rsidR="009F044E" w:rsidRDefault="009F044E">
      <w:pPr>
        <w:pStyle w:val="1"/>
        <w:spacing w:line="360" w:lineRule="auto"/>
        <w:contextualSpacing/>
        <w:rPr>
          <w:sz w:val="21"/>
        </w:rPr>
      </w:pP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4" w:name="OLE_LINK379"/>
      <w:bookmarkStart w:id="15" w:name="OLE_LINK380"/>
      <w:r>
        <w:rPr>
          <w:sz w:val="21"/>
        </w:rPr>
        <w:t>SC/T 1008</w:t>
      </w:r>
      <w:bookmarkEnd w:id="14"/>
      <w:bookmarkEnd w:id="15"/>
      <w:r>
        <w:rPr>
          <w:sz w:val="21"/>
        </w:rPr>
        <w:t xml:space="preserve"> </w:t>
      </w:r>
      <w:r>
        <w:rPr>
          <w:sz w:val="21"/>
        </w:rPr>
        <w:t>淡水鱼苗种池塘常规培育技术规范</w:t>
      </w:r>
    </w:p>
    <w:p w:rsidR="009F044E" w:rsidRDefault="009F189B">
      <w:pPr>
        <w:pStyle w:val="af7"/>
        <w:spacing w:line="360" w:lineRule="auto"/>
      </w:pPr>
      <w:r>
        <w:rPr>
          <w:rFonts w:ascii="Times New Roman" w:hint="eastAsia"/>
          <w:szCs w:val="22"/>
        </w:rPr>
        <w:t xml:space="preserve">SC/T 1137 </w:t>
      </w:r>
      <w:r>
        <w:rPr>
          <w:rFonts w:hint="eastAsia"/>
        </w:rPr>
        <w:t>淡水养殖水质调节用微生物制剂质量与使用原则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bookmarkStart w:id="16" w:name="OLE_LINK386"/>
      <w:bookmarkStart w:id="17" w:name="OLE_LINK389"/>
      <w:bookmarkStart w:id="18" w:name="OLE_LINK388"/>
      <w:bookmarkStart w:id="19" w:name="OLE_LINK385"/>
      <w:r>
        <w:rPr>
          <w:rFonts w:ascii="Times New Roman"/>
          <w:szCs w:val="21"/>
        </w:rPr>
        <w:t>SC/T 9101</w:t>
      </w:r>
      <w:bookmarkEnd w:id="16"/>
      <w:bookmarkEnd w:id="17"/>
      <w:bookmarkEnd w:id="18"/>
      <w:bookmarkEnd w:id="19"/>
      <w:r>
        <w:rPr>
          <w:rFonts w:ascii="Times New Roman"/>
          <w:szCs w:val="21"/>
        </w:rPr>
        <w:t xml:space="preserve">  </w:t>
      </w:r>
      <w:r>
        <w:rPr>
          <w:rFonts w:ascii="Times New Roman"/>
          <w:szCs w:val="21"/>
        </w:rPr>
        <w:t>淡水池塘养殖水排放要求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农业部</w:t>
      </w:r>
      <w:r>
        <w:rPr>
          <w:rFonts w:ascii="Times New Roman" w:hint="eastAsia"/>
          <w:szCs w:val="21"/>
        </w:rPr>
        <w:t>[2003]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31</w:t>
      </w:r>
      <w:r>
        <w:rPr>
          <w:rFonts w:ascii="Times New Roman" w:hint="eastAsia"/>
          <w:szCs w:val="21"/>
        </w:rPr>
        <w:t>号令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水产养殖质量安全管理规定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t>《病死及病害动物无害化处理技术规范》（农医发[2017]25号）</w:t>
      </w:r>
    </w:p>
    <w:p w:rsidR="009F044E" w:rsidRDefault="009F189B">
      <w:pPr>
        <w:pStyle w:val="a"/>
        <w:spacing w:before="312" w:after="312" w:line="360" w:lineRule="auto"/>
        <w:rPr>
          <w:rFonts w:hAnsi="SimHei" w:cs="SimHei"/>
          <w:b/>
          <w:szCs w:val="21"/>
        </w:rPr>
      </w:pPr>
      <w:r>
        <w:rPr>
          <w:rFonts w:hAnsi="SimHei" w:cs="SimHei" w:hint="eastAsia"/>
          <w:b/>
          <w:szCs w:val="21"/>
        </w:rPr>
        <w:t>产地环境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="Times New Roman"/>
        </w:rPr>
      </w:pPr>
      <w:r>
        <w:rPr>
          <w:rFonts w:ascii="Times New Roman" w:eastAsiaTheme="minorEastAsia" w:hint="eastAsia"/>
        </w:rPr>
        <w:t>3</w:t>
      </w:r>
      <w:r>
        <w:rPr>
          <w:rFonts w:ascii="Times New Roman" w:hint="eastAsia"/>
        </w:rPr>
        <w:t xml:space="preserve">.1  </w:t>
      </w:r>
      <w:r>
        <w:rPr>
          <w:rFonts w:ascii="Times New Roman" w:hint="eastAsia"/>
        </w:rPr>
        <w:t>养殖产地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应符合</w:t>
      </w:r>
      <w:bookmarkStart w:id="20" w:name="OLE_LINK128"/>
      <w:bookmarkStart w:id="21" w:name="OLE_LINK127"/>
      <w:r>
        <w:rPr>
          <w:rFonts w:ascii="Times New Roman" w:hAnsi="Times New Roman" w:cs="Times New Roman"/>
          <w:sz w:val="21"/>
          <w:szCs w:val="21"/>
        </w:rPr>
        <w:t>NY/T 391</w:t>
      </w:r>
      <w:bookmarkEnd w:id="20"/>
      <w:bookmarkEnd w:id="21"/>
      <w:r>
        <w:rPr>
          <w:rFonts w:ascii="Times New Roman" w:hAnsi="Times New Roman" w:cs="Times New Roman"/>
          <w:sz w:val="21"/>
          <w:szCs w:val="21"/>
        </w:rPr>
        <w:t>的规定，且水源充足排灌方便，交通便利，电力充足。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="Times New Roman"/>
        </w:rPr>
      </w:pPr>
      <w:r>
        <w:rPr>
          <w:rFonts w:ascii="Times New Roman" w:eastAsiaTheme="minorEastAsia" w:hint="eastAsia"/>
        </w:rPr>
        <w:t>3</w:t>
      </w:r>
      <w:r>
        <w:rPr>
          <w:rFonts w:ascii="Times New Roman" w:hint="eastAsia"/>
        </w:rPr>
        <w:t xml:space="preserve">.2  </w:t>
      </w:r>
      <w:r>
        <w:rPr>
          <w:rFonts w:ascii="Times New Roman" w:hint="eastAsia"/>
        </w:rPr>
        <w:t>养殖水源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应符合</w:t>
      </w:r>
      <w:r>
        <w:rPr>
          <w:rFonts w:ascii="Times New Roman"/>
          <w:szCs w:val="21"/>
        </w:rPr>
        <w:t>GB 11607</w:t>
      </w:r>
      <w:r>
        <w:rPr>
          <w:rFonts w:ascii="Times New Roman" w:hint="eastAsia"/>
          <w:szCs w:val="21"/>
        </w:rPr>
        <w:t>、</w:t>
      </w:r>
      <w:r>
        <w:rPr>
          <w:rFonts w:ascii="Times New Roman"/>
          <w:szCs w:val="21"/>
        </w:rPr>
        <w:t>NY/T 391</w:t>
      </w:r>
      <w:r>
        <w:rPr>
          <w:rFonts w:ascii="Times New Roman" w:hint="eastAsia"/>
          <w:szCs w:val="21"/>
        </w:rPr>
        <w:t>、</w:t>
      </w:r>
      <w:r>
        <w:rPr>
          <w:rFonts w:ascii="Times New Roman" w:hint="eastAsia"/>
          <w:szCs w:val="21"/>
        </w:rPr>
        <w:t>NY/T 3616</w:t>
      </w:r>
      <w:r>
        <w:rPr>
          <w:rFonts w:ascii="Times New Roman" w:hint="eastAsia"/>
          <w:szCs w:val="21"/>
        </w:rPr>
        <w:t>的</w:t>
      </w:r>
      <w:r>
        <w:rPr>
          <w:rFonts w:ascii="Times New Roman"/>
          <w:szCs w:val="21"/>
        </w:rPr>
        <w:t>规定。周边无</w:t>
      </w:r>
      <w:r>
        <w:rPr>
          <w:rFonts w:ascii="Times New Roman" w:hint="eastAsia"/>
          <w:szCs w:val="21"/>
        </w:rPr>
        <w:t>对养殖环境造成威胁的</w:t>
      </w:r>
      <w:r>
        <w:rPr>
          <w:rFonts w:ascii="Times New Roman"/>
          <w:szCs w:val="21"/>
        </w:rPr>
        <w:t>污染源，水质清新，透明度</w:t>
      </w:r>
      <w:r>
        <w:rPr>
          <w:rFonts w:ascii="Times New Roman"/>
          <w:szCs w:val="21"/>
        </w:rPr>
        <w:t>25cm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40cm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</w:t>
      </w:r>
      <w:r>
        <w:rPr>
          <w:rFonts w:ascii="Times New Roman"/>
          <w:szCs w:val="21"/>
        </w:rPr>
        <w:t>6.5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9.0</w:t>
      </w:r>
      <w:r>
        <w:rPr>
          <w:rFonts w:ascii="Times New Roman"/>
          <w:szCs w:val="21"/>
        </w:rPr>
        <w:t>，溶氧量</w:t>
      </w:r>
      <w:r>
        <w:rPr>
          <w:rFonts w:ascii="Times New Roman"/>
          <w:szCs w:val="21"/>
        </w:rPr>
        <w:t>≥5mg/L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池塘条件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4.1</w:t>
      </w:r>
      <w:r>
        <w:rPr>
          <w:rFonts w:hAnsi="SimSun" w:hint="eastAsia"/>
          <w:b/>
          <w:szCs w:val="21"/>
        </w:rPr>
        <w:t xml:space="preserve"> 养成池</w:t>
      </w:r>
    </w:p>
    <w:p w:rsidR="009F044E" w:rsidRDefault="009F189B">
      <w:pPr>
        <w:pStyle w:val="af7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长方形，东西走向为宜。面积</w:t>
      </w:r>
      <w:r>
        <w:rPr>
          <w:rFonts w:hAnsi="SimSun"/>
          <w:szCs w:val="21"/>
        </w:rPr>
        <w:t>15</w:t>
      </w:r>
      <w:r>
        <w:rPr>
          <w:rFonts w:hAnsi="SimSun" w:hint="eastAsia"/>
          <w:szCs w:val="21"/>
        </w:rPr>
        <w:t>亩～60亩，池深2.5 m～3.0 m，水深2.0m～2.5 m；池堤坚固，塘底平坦，壤土、黏土或沙壤土，不渗漏。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4.2</w:t>
      </w:r>
      <w:r>
        <w:rPr>
          <w:rFonts w:hAnsi="SimSun"/>
          <w:b/>
          <w:szCs w:val="21"/>
        </w:rPr>
        <w:t xml:space="preserve"> </w:t>
      </w:r>
      <w:r>
        <w:rPr>
          <w:rFonts w:hAnsi="SimSun" w:hint="eastAsia"/>
          <w:b/>
          <w:szCs w:val="21"/>
        </w:rPr>
        <w:t>蓄水池</w:t>
      </w:r>
    </w:p>
    <w:p w:rsidR="009F044E" w:rsidRDefault="009F189B">
      <w:pPr>
        <w:pStyle w:val="af7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 xml:space="preserve">蓄水池应能完全排干，水容量应为总养成水体的三分之一以上。 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4.3</w:t>
      </w:r>
      <w:r>
        <w:rPr>
          <w:rFonts w:hAnsi="SimSun"/>
          <w:b/>
          <w:szCs w:val="21"/>
        </w:rPr>
        <w:t xml:space="preserve"> </w:t>
      </w:r>
      <w:r>
        <w:rPr>
          <w:rFonts w:hAnsi="SimSun" w:hint="eastAsia"/>
          <w:b/>
          <w:szCs w:val="21"/>
        </w:rPr>
        <w:t>尾水处理池</w:t>
      </w:r>
    </w:p>
    <w:p w:rsidR="009F044E" w:rsidRDefault="009F189B">
      <w:pPr>
        <w:pStyle w:val="af7"/>
        <w:spacing w:line="360" w:lineRule="auto"/>
        <w:rPr>
          <w:rFonts w:hAnsi="SimSun"/>
          <w:szCs w:val="21"/>
        </w:rPr>
      </w:pPr>
      <w:bookmarkStart w:id="22" w:name="OLE_LINK110"/>
      <w:bookmarkStart w:id="23" w:name="OLE_LINK109"/>
      <w:r>
        <w:rPr>
          <w:rFonts w:hAnsi="SimSun" w:hint="eastAsia"/>
          <w:szCs w:val="21"/>
        </w:rPr>
        <w:t>养成池的水排出后，应先进入尾水处理池，采用循环用水方式的，经净化处理符合</w:t>
      </w:r>
      <w:r>
        <w:t>GB 11607规定</w:t>
      </w:r>
      <w:r>
        <w:rPr>
          <w:rFonts w:hAnsi="SimSun" w:hint="eastAsia"/>
          <w:szCs w:val="21"/>
        </w:rPr>
        <w:t>后，再进入蓄水池。不采用循环用水方式的，经处理符合</w:t>
      </w:r>
      <w:r>
        <w:rPr>
          <w:rFonts w:ascii="Times New Roman"/>
          <w:szCs w:val="21"/>
        </w:rPr>
        <w:t>SC/T 9101</w:t>
      </w:r>
      <w:r>
        <w:rPr>
          <w:rFonts w:ascii="Times New Roman" w:hint="eastAsia"/>
          <w:szCs w:val="21"/>
        </w:rPr>
        <w:t>规定</w:t>
      </w:r>
      <w:r>
        <w:rPr>
          <w:rFonts w:hAnsi="SimSun" w:hint="eastAsia"/>
          <w:szCs w:val="21"/>
        </w:rPr>
        <w:t>后直接排放。</w:t>
      </w:r>
      <w:bookmarkEnd w:id="22"/>
      <w:bookmarkEnd w:id="23"/>
      <w:r>
        <w:rPr>
          <w:rFonts w:hAnsi="SimSun" w:hint="eastAsia"/>
          <w:szCs w:val="21"/>
        </w:rPr>
        <w:t xml:space="preserve"> 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4.4</w:t>
      </w:r>
      <w:r>
        <w:rPr>
          <w:rFonts w:hAnsi="SimSun"/>
          <w:b/>
          <w:szCs w:val="21"/>
        </w:rPr>
        <w:t xml:space="preserve"> </w:t>
      </w:r>
      <w:r>
        <w:rPr>
          <w:rFonts w:hAnsi="SimSun" w:hint="eastAsia"/>
          <w:b/>
          <w:szCs w:val="21"/>
        </w:rPr>
        <w:t>进排水渠道</w:t>
      </w:r>
    </w:p>
    <w:p w:rsidR="009F044E" w:rsidRDefault="009F189B">
      <w:pPr>
        <w:pStyle w:val="af7"/>
        <w:spacing w:line="360" w:lineRule="auto"/>
        <w:rPr>
          <w:szCs w:val="21"/>
        </w:rPr>
      </w:pPr>
      <w:r>
        <w:rPr>
          <w:rFonts w:hAnsi="SimSun" w:hint="eastAsia"/>
          <w:szCs w:val="21"/>
        </w:rPr>
        <w:t>养成池的进、排水渠，进水口与排水口宜远离。排水渠的宽度应大于进水渠，排水渠底应低于各相应养殖池排水闸底 30 cm 以上。应配备增氧设备,宜同时选用水车式增氧机和叶轮式增氧机，按1:1的比例搭配使用。</w:t>
      </w:r>
      <w:r>
        <w:rPr>
          <w:rFonts w:hint="eastAsia"/>
          <w:szCs w:val="21"/>
        </w:rPr>
        <w:t>每10亩水面配备至少</w:t>
      </w:r>
      <w:r>
        <w:rPr>
          <w:szCs w:val="21"/>
        </w:rPr>
        <w:t>2</w:t>
      </w:r>
      <w:r>
        <w:rPr>
          <w:rFonts w:hint="eastAsia"/>
          <w:szCs w:val="21"/>
        </w:rPr>
        <w:t>台增氧机，每台增氧机</w:t>
      </w:r>
      <w:r>
        <w:rPr>
          <w:szCs w:val="21"/>
        </w:rPr>
        <w:t>功率不低于</w:t>
      </w:r>
      <w:r>
        <w:rPr>
          <w:rFonts w:hint="eastAsia"/>
          <w:szCs w:val="21"/>
        </w:rPr>
        <w:t>3</w:t>
      </w:r>
      <w:r>
        <w:rPr>
          <w:szCs w:val="21"/>
        </w:rPr>
        <w:t>kw。</w:t>
      </w:r>
    </w:p>
    <w:p w:rsidR="009F044E" w:rsidRDefault="009F189B">
      <w:pPr>
        <w:pStyle w:val="af7"/>
        <w:spacing w:line="360" w:lineRule="auto"/>
        <w:ind w:firstLineChars="0" w:firstLine="0"/>
        <w:rPr>
          <w:rFonts w:ascii="SimHei" w:eastAsia="SimHei" w:hAnsi="SimHei" w:cs="SimHei"/>
          <w:b/>
          <w:szCs w:val="21"/>
        </w:rPr>
      </w:pPr>
      <w:r>
        <w:rPr>
          <w:rFonts w:ascii="SimHei" w:eastAsiaTheme="minorEastAsia" w:hAnsi="SimHei" w:cs="SimHei" w:hint="eastAsia"/>
          <w:b/>
          <w:szCs w:val="21"/>
        </w:rPr>
        <w:t>5</w:t>
      </w:r>
      <w:r>
        <w:rPr>
          <w:rFonts w:ascii="SimHei" w:eastAsia="SimHei" w:hAnsi="SimHei" w:cs="SimHei" w:hint="eastAsia"/>
          <w:b/>
          <w:szCs w:val="21"/>
        </w:rPr>
        <w:t xml:space="preserve">. </w:t>
      </w:r>
      <w:r>
        <w:rPr>
          <w:rFonts w:ascii="SimHei" w:eastAsia="SimHei" w:hAnsi="SimHei" w:cs="SimHei" w:hint="eastAsia"/>
          <w:szCs w:val="21"/>
        </w:rPr>
        <w:t xml:space="preserve"> </w:t>
      </w:r>
      <w:r>
        <w:rPr>
          <w:rFonts w:ascii="SimHei" w:eastAsia="SimHei" w:hAnsi="SimHei" w:cs="SimHei" w:hint="eastAsia"/>
          <w:b/>
          <w:szCs w:val="21"/>
        </w:rPr>
        <w:t>养殖水质管理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lastRenderedPageBreak/>
        <w:t>5</w:t>
      </w:r>
      <w:r>
        <w:rPr>
          <w:rFonts w:hAnsi="SimSun"/>
          <w:b/>
          <w:szCs w:val="21"/>
        </w:rPr>
        <w:t xml:space="preserve">.1 </w:t>
      </w:r>
      <w:r>
        <w:rPr>
          <w:rFonts w:hAnsi="SimSun" w:hint="eastAsia"/>
          <w:b/>
          <w:szCs w:val="21"/>
        </w:rPr>
        <w:t>干塘清淤</w:t>
      </w:r>
    </w:p>
    <w:p w:rsidR="009F044E" w:rsidRDefault="009F189B">
      <w:pPr>
        <w:widowControl w:val="0"/>
        <w:spacing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成鱼出池后，排干池水，同时清除池底过多的淤泥，使淤泥厚度≤</w:t>
      </w:r>
      <w:r>
        <w:rPr>
          <w:sz w:val="21"/>
          <w:szCs w:val="21"/>
        </w:rPr>
        <w:t>10</w:t>
      </w:r>
      <w:r>
        <w:rPr>
          <w:rFonts w:hint="eastAsia"/>
          <w:sz w:val="21"/>
          <w:szCs w:val="21"/>
        </w:rPr>
        <w:t>cm，延缓池塘老化。干塘清淤至少每年进行一次。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5</w:t>
      </w:r>
      <w:r>
        <w:rPr>
          <w:rFonts w:hAnsi="SimSun"/>
          <w:b/>
          <w:szCs w:val="21"/>
        </w:rPr>
        <w:t xml:space="preserve">.2 </w:t>
      </w:r>
      <w:r>
        <w:rPr>
          <w:rFonts w:hAnsi="SimSun" w:hint="eastAsia"/>
          <w:b/>
          <w:szCs w:val="21"/>
        </w:rPr>
        <w:t>消毒清塘</w:t>
      </w:r>
    </w:p>
    <w:p w:rsidR="009F044E" w:rsidRDefault="009F189B">
      <w:pPr>
        <w:widowControl w:val="0"/>
        <w:spacing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苗种放养前，使用消毒剂清塘。常用清塘药物及方法见表1。药物的使用应符合</w:t>
      </w:r>
      <w:r>
        <w:rPr>
          <w:sz w:val="21"/>
          <w:szCs w:val="21"/>
        </w:rPr>
        <w:t>NY/T 755</w:t>
      </w:r>
      <w:r>
        <w:rPr>
          <w:rFonts w:hint="eastAsia"/>
          <w:sz w:val="21"/>
          <w:szCs w:val="21"/>
        </w:rPr>
        <w:t>规定。</w:t>
      </w:r>
    </w:p>
    <w:p w:rsidR="009F044E" w:rsidRDefault="009F189B">
      <w:pPr>
        <w:widowControl w:val="0"/>
        <w:spacing w:line="360" w:lineRule="auto"/>
        <w:ind w:firstLineChars="200" w:firstLine="422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表</w:t>
      </w:r>
      <w:r>
        <w:rPr>
          <w:b/>
          <w:bCs/>
          <w:sz w:val="21"/>
          <w:szCs w:val="21"/>
        </w:rPr>
        <w:t xml:space="preserve">1 </w:t>
      </w:r>
      <w:r>
        <w:rPr>
          <w:rFonts w:hint="eastAsia"/>
          <w:b/>
          <w:bCs/>
          <w:sz w:val="21"/>
          <w:szCs w:val="21"/>
        </w:rPr>
        <w:t>常用清塘药物及方法表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420"/>
        <w:gridCol w:w="1686"/>
        <w:gridCol w:w="2429"/>
        <w:gridCol w:w="1549"/>
      </w:tblGrid>
      <w:tr w:rsidR="009F044E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药物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清塘方法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用量</w:t>
            </w:r>
          </w:p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</w:t>
            </w:r>
            <w:r>
              <w:rPr>
                <w:rFonts w:hint="eastAsia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亩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米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使用方法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毒性消失时间（</w:t>
            </w:r>
            <w:r>
              <w:rPr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9F044E">
        <w:trPr>
          <w:jc w:val="center"/>
        </w:trPr>
        <w:tc>
          <w:tcPr>
            <w:tcW w:w="1420" w:type="dxa"/>
            <w:vMerge w:val="restart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生石灰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干法清塘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75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排除塘水倒入生石灰溶化趁热全池泼洒，第二天翻动底泥，3d～5 d后注入新水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9F044E" w:rsidRDefault="009F189B">
            <w:pPr>
              <w:pStyle w:val="af3"/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10</w:t>
            </w:r>
          </w:p>
        </w:tc>
      </w:tr>
      <w:tr w:rsidR="009F044E">
        <w:trPr>
          <w:jc w:val="center"/>
        </w:trPr>
        <w:tc>
          <w:tcPr>
            <w:tcW w:w="1420" w:type="dxa"/>
            <w:vMerge/>
            <w:shd w:val="clear" w:color="auto" w:fill="auto"/>
            <w:vAlign w:val="center"/>
          </w:tcPr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带水清塘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150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排除部分水将生石灰化开成浆液，趁热全池泼洒</w:t>
            </w: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</w:tr>
      <w:tr w:rsidR="009F044E">
        <w:trPr>
          <w:jc w:val="center"/>
        </w:trPr>
        <w:tc>
          <w:tcPr>
            <w:tcW w:w="1420" w:type="dxa"/>
            <w:vMerge w:val="restart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含氯石灰（有效氯</w:t>
            </w:r>
            <w:r>
              <w:rPr>
                <w:rFonts w:ascii="FangSong" w:eastAsia="FangSong" w:hAnsi="FangSong" w:cs="FangSong" w:hint="eastAsia"/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25%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干法清塘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干塘后将含氯石灰加水溶化拌成糊状，稀释后全池泼洒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9F044E" w:rsidRDefault="009F189B">
            <w:pPr>
              <w:pStyle w:val="af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5</w:t>
            </w:r>
          </w:p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</w:tr>
      <w:tr w:rsidR="009F044E">
        <w:trPr>
          <w:jc w:val="center"/>
        </w:trPr>
        <w:tc>
          <w:tcPr>
            <w:tcW w:w="1420" w:type="dxa"/>
            <w:vMerge/>
            <w:shd w:val="clear" w:color="auto" w:fill="auto"/>
          </w:tcPr>
          <w:p w:rsidR="009F044E" w:rsidRDefault="009F044E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带水清塘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13.5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含氯石灰溶化，稀释后全池泼洒</w:t>
            </w:r>
          </w:p>
        </w:tc>
        <w:tc>
          <w:tcPr>
            <w:tcW w:w="1549" w:type="dxa"/>
            <w:vMerge/>
            <w:shd w:val="clear" w:color="auto" w:fill="auto"/>
          </w:tcPr>
          <w:p w:rsidR="009F044E" w:rsidRDefault="009F044E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9F044E" w:rsidRDefault="009F044E">
      <w:pPr>
        <w:spacing w:line="360" w:lineRule="auto"/>
        <w:rPr>
          <w:b/>
          <w:bCs/>
          <w:sz w:val="21"/>
          <w:szCs w:val="21"/>
        </w:rPr>
      </w:pP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5</w:t>
      </w:r>
      <w:r>
        <w:rPr>
          <w:rFonts w:hAnsi="SimSun"/>
          <w:b/>
          <w:szCs w:val="21"/>
        </w:rPr>
        <w:t xml:space="preserve">.3 </w:t>
      </w:r>
      <w:r>
        <w:rPr>
          <w:rFonts w:hAnsi="SimSun" w:hint="eastAsia"/>
          <w:b/>
          <w:szCs w:val="21"/>
        </w:rPr>
        <w:t>有益微生物制剂的使用</w:t>
      </w:r>
    </w:p>
    <w:p w:rsidR="009F044E" w:rsidRDefault="009F189B">
      <w:pPr>
        <w:pStyle w:val="ae"/>
        <w:spacing w:line="360" w:lineRule="auto"/>
        <w:ind w:firstLineChars="200" w:firstLine="420"/>
        <w:rPr>
          <w:rFonts w:ascii="Times New Roman"/>
          <w:sz w:val="21"/>
          <w:szCs w:val="21"/>
        </w:rPr>
      </w:pPr>
      <w:r>
        <w:rPr>
          <w:rFonts w:hint="eastAsia"/>
          <w:sz w:val="21"/>
          <w:szCs w:val="21"/>
        </w:rPr>
        <w:t>参照SC/T 1137标准使用微生物制剂。在水温25°C以上，选择日照较强的天气，定期施用光合细菌、枯草芽孢杆菌等微生物制剂，施用微生物制剂后要注意增加溶氧，微生物制剂必需在用药3d～4d后方能使用。定期添加碳源（葡萄糖、糖蜜等）调节水体碳氮比。控制藻相以绿藻和硅藻为主，避免蓝藻水华爆发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eastAsiaTheme="minorEastAsia" w:hint="eastAsia"/>
          <w:szCs w:val="21"/>
        </w:rPr>
        <w:t>6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苗种放养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6.1鱼种来源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从</w:t>
      </w:r>
      <w:r>
        <w:rPr>
          <w:rFonts w:ascii="Times New Roman" w:hint="eastAsia"/>
          <w:szCs w:val="21"/>
        </w:rPr>
        <w:t>原</w:t>
      </w:r>
      <w:r>
        <w:rPr>
          <w:rFonts w:ascii="Times New Roman"/>
          <w:szCs w:val="21"/>
        </w:rPr>
        <w:t>良种场购买鱼苗</w:t>
      </w:r>
      <w:r>
        <w:rPr>
          <w:rFonts w:ascii="Times New Roman" w:hint="eastAsia"/>
          <w:szCs w:val="21"/>
        </w:rPr>
        <w:t>，种质符合</w:t>
      </w:r>
      <w:r>
        <w:rPr>
          <w:rFonts w:ascii="Times New Roman" w:hint="eastAsia"/>
          <w:szCs w:val="21"/>
        </w:rPr>
        <w:t>GB/T 17715</w:t>
      </w:r>
      <w:r>
        <w:rPr>
          <w:rFonts w:ascii="Times New Roman" w:hint="eastAsia"/>
          <w:szCs w:val="21"/>
        </w:rPr>
        <w:t>要求，</w:t>
      </w:r>
      <w:r>
        <w:rPr>
          <w:rFonts w:hAnsi="SimSun" w:hint="eastAsia"/>
          <w:szCs w:val="21"/>
        </w:rPr>
        <w:t>选择规格整齐、体色正常、体质健壮、活力强，质量应符合</w:t>
      </w:r>
      <w:r>
        <w:rPr>
          <w:rFonts w:ascii="Times New Roman"/>
          <w:szCs w:val="21"/>
        </w:rPr>
        <w:t>GB 11776</w:t>
      </w:r>
      <w:r>
        <w:rPr>
          <w:rFonts w:ascii="Times New Roman"/>
          <w:szCs w:val="21"/>
        </w:rPr>
        <w:t>的规定，购入鱼种应检疫合格。培育方法及日常管理按照</w:t>
      </w:r>
      <w:r>
        <w:rPr>
          <w:rFonts w:ascii="Times New Roman"/>
          <w:szCs w:val="21"/>
        </w:rPr>
        <w:t>SC/T1008</w:t>
      </w:r>
      <w:r>
        <w:rPr>
          <w:rFonts w:ascii="Times New Roman"/>
          <w:szCs w:val="21"/>
        </w:rPr>
        <w:t>规定执行。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6.2 注水</w:t>
      </w:r>
    </w:p>
    <w:p w:rsidR="009F044E" w:rsidRDefault="009F189B">
      <w:pPr>
        <w:pStyle w:val="af7"/>
        <w:spacing w:line="360" w:lineRule="auto"/>
        <w:ind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lastRenderedPageBreak/>
        <w:t>消毒清塘</w:t>
      </w:r>
      <w:r>
        <w:rPr>
          <w:rFonts w:ascii="Times New Roman" w:hint="eastAsia"/>
          <w:szCs w:val="21"/>
        </w:rPr>
        <w:t>3</w:t>
      </w:r>
      <w:r>
        <w:rPr>
          <w:rFonts w:ascii="Times New Roman"/>
          <w:szCs w:val="21"/>
        </w:rPr>
        <w:t>d</w:t>
      </w:r>
      <w:r>
        <w:rPr>
          <w:rFonts w:ascii="Times New Roman"/>
          <w:szCs w:val="21"/>
        </w:rPr>
        <w:t>～</w:t>
      </w:r>
      <w:r>
        <w:rPr>
          <w:rFonts w:ascii="Times New Roman" w:hint="eastAsia"/>
          <w:szCs w:val="21"/>
        </w:rPr>
        <w:t>5</w:t>
      </w:r>
      <w:r>
        <w:rPr>
          <w:rFonts w:ascii="Times New Roman"/>
          <w:szCs w:val="21"/>
        </w:rPr>
        <w:t>d</w:t>
      </w:r>
      <w:r>
        <w:rPr>
          <w:rFonts w:ascii="Times New Roman"/>
          <w:szCs w:val="21"/>
        </w:rPr>
        <w:t>后注水，</w:t>
      </w:r>
      <w:r>
        <w:rPr>
          <w:rFonts w:ascii="Times New Roman" w:hint="eastAsia"/>
          <w:szCs w:val="21"/>
        </w:rPr>
        <w:t>初次</w:t>
      </w:r>
      <w:r>
        <w:rPr>
          <w:rFonts w:ascii="Times New Roman"/>
          <w:szCs w:val="21"/>
        </w:rPr>
        <w:t>注水水深</w:t>
      </w:r>
      <w:r>
        <w:rPr>
          <w:rFonts w:ascii="Times New Roman" w:hint="eastAsia"/>
          <w:szCs w:val="21"/>
        </w:rPr>
        <w:t>宜</w:t>
      </w:r>
      <w:r>
        <w:rPr>
          <w:rFonts w:ascii="Times New Roman"/>
          <w:szCs w:val="21"/>
        </w:rPr>
        <w:t>0.</w:t>
      </w:r>
      <w:r>
        <w:rPr>
          <w:rFonts w:ascii="Times New Roman" w:hint="eastAsia"/>
          <w:szCs w:val="21"/>
        </w:rPr>
        <w:t>5</w:t>
      </w:r>
      <w:r>
        <w:rPr>
          <w:rFonts w:ascii="Times New Roman"/>
          <w:szCs w:val="21"/>
        </w:rPr>
        <w:t>m</w:t>
      </w:r>
      <w:r>
        <w:rPr>
          <w:rFonts w:ascii="Times New Roman"/>
          <w:szCs w:val="21"/>
        </w:rPr>
        <w:t>～</w:t>
      </w:r>
      <w:r>
        <w:rPr>
          <w:rFonts w:ascii="Times New Roman" w:hint="eastAsia"/>
          <w:szCs w:val="21"/>
        </w:rPr>
        <w:t>0</w:t>
      </w:r>
      <w:r>
        <w:rPr>
          <w:rFonts w:ascii="Times New Roman"/>
          <w:szCs w:val="21"/>
        </w:rPr>
        <w:t>.</w:t>
      </w:r>
      <w:r>
        <w:rPr>
          <w:rFonts w:ascii="Times New Roman" w:hint="eastAsia"/>
          <w:szCs w:val="21"/>
        </w:rPr>
        <w:t>8</w:t>
      </w:r>
      <w:r>
        <w:rPr>
          <w:rFonts w:ascii="Times New Roman"/>
          <w:szCs w:val="21"/>
        </w:rPr>
        <w:t>m</w:t>
      </w:r>
      <w:r>
        <w:rPr>
          <w:rFonts w:ascii="Times New Roman"/>
          <w:szCs w:val="21"/>
        </w:rPr>
        <w:t>。注水时用规格为</w:t>
      </w:r>
      <w:r>
        <w:rPr>
          <w:rFonts w:ascii="Times New Roman"/>
          <w:szCs w:val="21"/>
        </w:rPr>
        <w:t>24</w:t>
      </w:r>
      <w:r>
        <w:rPr>
          <w:rFonts w:ascii="Times New Roman"/>
          <w:szCs w:val="21"/>
        </w:rPr>
        <w:t>孔</w:t>
      </w:r>
      <w:r>
        <w:rPr>
          <w:rFonts w:ascii="Times New Roman"/>
          <w:szCs w:val="21"/>
        </w:rPr>
        <w:t>/ cm</w:t>
      </w:r>
      <w:r>
        <w:rPr>
          <w:rFonts w:ascii="Times New Roman"/>
          <w:szCs w:val="21"/>
        </w:rPr>
        <w:t>（相当于</w:t>
      </w:r>
      <w:r>
        <w:rPr>
          <w:rFonts w:ascii="Times New Roman"/>
          <w:szCs w:val="21"/>
        </w:rPr>
        <w:t>60</w:t>
      </w:r>
      <w:r>
        <w:rPr>
          <w:rFonts w:ascii="Times New Roman"/>
          <w:szCs w:val="21"/>
        </w:rPr>
        <w:t>目）的筛绢网过滤。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6.3 养殖模式及放养方式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6</w:t>
      </w:r>
      <w:r>
        <w:rPr>
          <w:rFonts w:hAnsi="SimSun" w:hint="eastAsia"/>
          <w:b/>
          <w:szCs w:val="21"/>
        </w:rPr>
        <w:t>.</w:t>
      </w:r>
      <w:r>
        <w:rPr>
          <w:rFonts w:hAnsi="SimSun"/>
          <w:b/>
          <w:szCs w:val="21"/>
        </w:rPr>
        <w:t>3.</w:t>
      </w:r>
      <w:r>
        <w:rPr>
          <w:rFonts w:hAnsi="SimSun" w:hint="eastAsia"/>
          <w:b/>
          <w:szCs w:val="21"/>
        </w:rPr>
        <w:t>1  养殖模式</w:t>
      </w:r>
    </w:p>
    <w:p w:rsidR="009F044E" w:rsidRDefault="009F189B">
      <w:pPr>
        <w:spacing w:line="360" w:lineRule="auto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根据NY/T 84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的要求，养殖模式应采用健康养殖、生态养殖方式。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6</w:t>
      </w:r>
      <w:r>
        <w:rPr>
          <w:rFonts w:hAnsi="SimSun"/>
          <w:b/>
          <w:szCs w:val="21"/>
        </w:rPr>
        <w:t>.3.2 放养方式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成鱼养殖可采用单养或套养类型，各地区各品种的放养比例分别参照附录</w:t>
      </w:r>
      <w:r>
        <w:rPr>
          <w:rFonts w:ascii="Times New Roman"/>
          <w:szCs w:val="21"/>
        </w:rPr>
        <w:t>A</w:t>
      </w:r>
      <w:r>
        <w:rPr>
          <w:rFonts w:ascii="Times New Roman" w:hint="eastAsia"/>
          <w:szCs w:val="21"/>
        </w:rPr>
        <w:t>执行。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t>7</w:t>
      </w:r>
      <w:r>
        <w:rPr>
          <w:szCs w:val="21"/>
        </w:rPr>
        <w:t>. 饲养管理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7.1 饲料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配合颗粒饲料质量要求符合</w:t>
      </w:r>
      <w:r>
        <w:rPr>
          <w:rFonts w:ascii="Times New Roman" w:hint="eastAsia"/>
          <w:szCs w:val="21"/>
        </w:rPr>
        <w:t>GB</w:t>
      </w:r>
      <w:r>
        <w:rPr>
          <w:rFonts w:ascii="Times New Roman"/>
          <w:szCs w:val="21"/>
        </w:rPr>
        <w:t>/</w:t>
      </w:r>
      <w:r>
        <w:rPr>
          <w:rFonts w:ascii="Times New Roman" w:hint="eastAsia"/>
          <w:szCs w:val="21"/>
        </w:rPr>
        <w:t>T</w:t>
      </w:r>
      <w:r>
        <w:rPr>
          <w:rFonts w:ascii="Times New Roman"/>
          <w:szCs w:val="21"/>
        </w:rPr>
        <w:t>36205</w:t>
      </w:r>
      <w:r>
        <w:rPr>
          <w:rFonts w:ascii="Times New Roman" w:hint="eastAsia"/>
          <w:szCs w:val="21"/>
        </w:rPr>
        <w:t>和</w:t>
      </w:r>
      <w:r>
        <w:rPr>
          <w:rFonts w:hAnsi="SimSun" w:hint="eastAsia"/>
          <w:szCs w:val="21"/>
        </w:rPr>
        <w:t>和</w:t>
      </w:r>
      <w:r>
        <w:rPr>
          <w:rFonts w:hAnsi="SimSun"/>
          <w:szCs w:val="21"/>
        </w:rPr>
        <w:t>NY/T 471</w:t>
      </w:r>
      <w:r>
        <w:rPr>
          <w:rFonts w:hAnsi="SimSun" w:hint="eastAsia"/>
          <w:szCs w:val="21"/>
        </w:rPr>
        <w:t>规定</w:t>
      </w:r>
      <w:r>
        <w:rPr>
          <w:rFonts w:ascii="Times New Roman"/>
          <w:szCs w:val="21"/>
        </w:rPr>
        <w:t>。</w:t>
      </w:r>
      <w:r>
        <w:rPr>
          <w:rFonts w:hint="eastAsia"/>
          <w:szCs w:val="21"/>
        </w:rPr>
        <w:t>草鱼养成阶段饲料要求应符合</w:t>
      </w:r>
      <w:r>
        <w:rPr>
          <w:rFonts w:ascii="Times New Roman"/>
          <w:szCs w:val="21"/>
        </w:rPr>
        <w:t>粗蛋白</w:t>
      </w:r>
      <w:r>
        <w:rPr>
          <w:rFonts w:ascii="Times New Roman"/>
          <w:szCs w:val="21"/>
        </w:rPr>
        <w:t>25%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32%</w:t>
      </w:r>
      <w:r>
        <w:rPr>
          <w:rFonts w:ascii="Times New Roman"/>
          <w:szCs w:val="21"/>
        </w:rPr>
        <w:t>、粗脂肪</w:t>
      </w:r>
      <w:r>
        <w:rPr>
          <w:rFonts w:ascii="Times New Roman"/>
          <w:szCs w:val="21"/>
        </w:rPr>
        <w:t>4%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7%</w:t>
      </w:r>
      <w:r>
        <w:rPr>
          <w:rFonts w:ascii="Times New Roman"/>
          <w:szCs w:val="21"/>
        </w:rPr>
        <w:t>、</w:t>
      </w:r>
      <w:r>
        <w:rPr>
          <w:rFonts w:ascii="Times New Roman" w:hint="eastAsia"/>
          <w:szCs w:val="21"/>
        </w:rPr>
        <w:t>粗灰分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3%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5%</w:t>
      </w:r>
      <w:r>
        <w:rPr>
          <w:rFonts w:ascii="Times New Roman" w:hint="eastAsia"/>
          <w:szCs w:val="21"/>
        </w:rPr>
        <w:t>、粗纤维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0%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5%</w:t>
      </w:r>
      <w:r>
        <w:rPr>
          <w:rFonts w:ascii="Times New Roman" w:hint="eastAsia"/>
          <w:szCs w:val="21"/>
        </w:rPr>
        <w:t>、总磷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.6%</w:t>
      </w:r>
      <w:r>
        <w:rPr>
          <w:rFonts w:ascii="Times New Roman" w:hint="eastAsia"/>
          <w:szCs w:val="21"/>
        </w:rPr>
        <w:t>、赖氨酸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.4%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7.2 投喂原则</w:t>
      </w:r>
    </w:p>
    <w:p w:rsidR="009F044E" w:rsidRDefault="009F189B">
      <w:pPr>
        <w:pStyle w:val="a1"/>
        <w:numPr>
          <w:ilvl w:val="0"/>
          <w:numId w:val="0"/>
        </w:numPr>
        <w:spacing w:before="156" w:after="156" w:line="360" w:lineRule="auto"/>
        <w:ind w:firstLineChars="200" w:firstLine="420"/>
      </w:pPr>
      <w:r>
        <w:rPr>
          <w:rFonts w:eastAsia="SimSun"/>
        </w:rPr>
        <w:t>做到四定：定时、定位、定质、定量。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 投喂方法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7.3.1 驯食</w:t>
      </w:r>
    </w:p>
    <w:p w:rsidR="009F044E" w:rsidRDefault="009F189B">
      <w:pPr>
        <w:pStyle w:val="af7"/>
        <w:spacing w:line="360" w:lineRule="auto"/>
        <w:ind w:firstLineChars="0" w:firstLine="0"/>
        <w:rPr>
          <w:rFonts w:ascii="Times New Roman"/>
          <w:szCs w:val="21"/>
        </w:rPr>
      </w:pPr>
      <w:r>
        <w:rPr>
          <w:szCs w:val="21"/>
        </w:rPr>
        <w:tab/>
        <w:t xml:space="preserve">    </w:t>
      </w:r>
      <w:r>
        <w:rPr>
          <w:rFonts w:ascii="Times New Roman" w:hint="eastAsia"/>
          <w:szCs w:val="21"/>
        </w:rPr>
        <w:t>池塘面积</w:t>
      </w:r>
      <w:r>
        <w:rPr>
          <w:rFonts w:hint="eastAsia"/>
          <w:szCs w:val="21"/>
        </w:rPr>
        <w:t>不超过</w:t>
      </w:r>
      <w:r>
        <w:rPr>
          <w:rFonts w:ascii="Times New Roman" w:hint="eastAsia"/>
          <w:szCs w:val="21"/>
        </w:rPr>
        <w:t>40</w:t>
      </w:r>
      <w:r>
        <w:rPr>
          <w:rFonts w:ascii="Times New Roman" w:hint="eastAsia"/>
          <w:szCs w:val="21"/>
        </w:rPr>
        <w:t>亩宜放置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个～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个投喂台，</w:t>
      </w:r>
      <w:r>
        <w:rPr>
          <w:rFonts w:ascii="Times New Roman" w:hint="eastAsia"/>
          <w:szCs w:val="21"/>
        </w:rPr>
        <w:t>50</w:t>
      </w:r>
      <w:r>
        <w:rPr>
          <w:rFonts w:ascii="Times New Roman" w:hint="eastAsia"/>
          <w:szCs w:val="21"/>
        </w:rPr>
        <w:t>亩～</w:t>
      </w:r>
      <w:r>
        <w:rPr>
          <w:rFonts w:ascii="Times New Roman" w:hint="eastAsia"/>
          <w:szCs w:val="21"/>
        </w:rPr>
        <w:t>60</w:t>
      </w:r>
      <w:r>
        <w:rPr>
          <w:rFonts w:ascii="Times New Roman" w:hint="eastAsia"/>
          <w:szCs w:val="21"/>
        </w:rPr>
        <w:t>亩宜放置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个～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个投喂台；</w:t>
      </w:r>
      <w:r>
        <w:rPr>
          <w:rFonts w:ascii="Times New Roman" w:hint="eastAsia"/>
          <w:szCs w:val="21"/>
        </w:rPr>
        <w:t>6</w:t>
      </w:r>
      <w:r>
        <w:rPr>
          <w:rFonts w:ascii="Times New Roman"/>
          <w:szCs w:val="21"/>
        </w:rPr>
        <w:t>0</w:t>
      </w:r>
      <w:r>
        <w:rPr>
          <w:rFonts w:ascii="Times New Roman" w:hint="eastAsia"/>
          <w:szCs w:val="21"/>
        </w:rPr>
        <w:t>亩以上的宜设置多于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个投喂台；</w:t>
      </w:r>
      <w:r>
        <w:rPr>
          <w:rFonts w:ascii="Times New Roman"/>
          <w:szCs w:val="21"/>
        </w:rPr>
        <w:t>放苗</w:t>
      </w:r>
      <w:r>
        <w:rPr>
          <w:rFonts w:ascii="Times New Roman"/>
          <w:szCs w:val="21"/>
        </w:rPr>
        <w:t>2d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3d</w:t>
      </w:r>
      <w:r>
        <w:rPr>
          <w:rFonts w:ascii="Times New Roman"/>
          <w:szCs w:val="21"/>
        </w:rPr>
        <w:t>后，开始投饵驯化</w:t>
      </w:r>
      <w:r>
        <w:rPr>
          <w:rFonts w:ascii="Times New Roman" w:hint="eastAsia"/>
          <w:szCs w:val="21"/>
        </w:rPr>
        <w:t>。</w:t>
      </w:r>
      <w:r>
        <w:rPr>
          <w:rFonts w:ascii="Times New Roman"/>
          <w:szCs w:val="21"/>
        </w:rPr>
        <w:t>投饵台附近，边投饵边给予声响刺激，</w:t>
      </w:r>
      <w:r>
        <w:rPr>
          <w:rFonts w:ascii="Times New Roman" w:hint="eastAsia"/>
          <w:szCs w:val="21"/>
        </w:rPr>
        <w:t>按照定时原则</w:t>
      </w:r>
      <w:r>
        <w:rPr>
          <w:rFonts w:ascii="Times New Roman"/>
          <w:szCs w:val="21"/>
        </w:rPr>
        <w:t>日</w:t>
      </w:r>
      <w:r>
        <w:rPr>
          <w:rFonts w:ascii="Times New Roman"/>
          <w:bCs/>
          <w:szCs w:val="21"/>
        </w:rPr>
        <w:t>驯食</w:t>
      </w:r>
      <w:r>
        <w:rPr>
          <w:rFonts w:ascii="Times New Roman"/>
          <w:bCs/>
          <w:szCs w:val="21"/>
        </w:rPr>
        <w:t>2</w:t>
      </w:r>
      <w:r>
        <w:rPr>
          <w:rFonts w:ascii="Times New Roman"/>
          <w:bCs/>
          <w:szCs w:val="21"/>
        </w:rPr>
        <w:t>次</w:t>
      </w:r>
      <w:r>
        <w:rPr>
          <w:rFonts w:ascii="Times New Roman" w:hint="eastAsia"/>
          <w:bCs/>
          <w:szCs w:val="21"/>
        </w:rPr>
        <w:t>～</w:t>
      </w:r>
      <w:r>
        <w:rPr>
          <w:rFonts w:ascii="Times New Roman"/>
          <w:bCs/>
          <w:szCs w:val="21"/>
        </w:rPr>
        <w:t>3</w:t>
      </w:r>
      <w:r>
        <w:rPr>
          <w:rFonts w:ascii="Times New Roman"/>
          <w:bCs/>
          <w:szCs w:val="21"/>
        </w:rPr>
        <w:t>次，每</w:t>
      </w:r>
      <w:r>
        <w:rPr>
          <w:rFonts w:ascii="Times New Roman"/>
          <w:szCs w:val="21"/>
        </w:rPr>
        <w:t>次</w:t>
      </w:r>
      <w:r>
        <w:rPr>
          <w:rFonts w:ascii="Times New Roman"/>
          <w:szCs w:val="21"/>
        </w:rPr>
        <w:t>20min-30min</w:t>
      </w:r>
      <w:r>
        <w:rPr>
          <w:rFonts w:ascii="Times New Roman"/>
          <w:szCs w:val="21"/>
        </w:rPr>
        <w:t>，驯至池鱼集群上浮水面抢食</w:t>
      </w:r>
      <w:r>
        <w:rPr>
          <w:rFonts w:ascii="Times New Roman" w:hint="eastAsia"/>
          <w:szCs w:val="21"/>
        </w:rPr>
        <w:t>，</w:t>
      </w:r>
      <w:r>
        <w:rPr>
          <w:rFonts w:ascii="Times New Roman"/>
          <w:szCs w:val="21"/>
        </w:rPr>
        <w:t>转为正常投饵</w:t>
      </w:r>
      <w:r>
        <w:rPr>
          <w:rFonts w:ascii="Times New Roman" w:hint="eastAsia"/>
          <w:szCs w:val="21"/>
        </w:rPr>
        <w:t>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7.3.2 投喂次数</w:t>
      </w:r>
    </w:p>
    <w:p w:rsidR="009F044E" w:rsidRDefault="009F189B">
      <w:pPr>
        <w:pStyle w:val="af7"/>
        <w:spacing w:line="360" w:lineRule="auto"/>
        <w:ind w:firstLineChars="250" w:firstLine="525"/>
        <w:rPr>
          <w:rFonts w:ascii="Times New Roman"/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月下旬～6月</w:t>
      </w:r>
      <w:r>
        <w:rPr>
          <w:rFonts w:hint="eastAsia"/>
          <w:szCs w:val="21"/>
        </w:rPr>
        <w:t>每</w:t>
      </w:r>
      <w:r>
        <w:rPr>
          <w:szCs w:val="21"/>
        </w:rPr>
        <w:t>日投喂2次</w:t>
      </w:r>
      <w:r>
        <w:rPr>
          <w:rFonts w:hint="eastAsia"/>
          <w:szCs w:val="21"/>
        </w:rPr>
        <w:t>～</w:t>
      </w:r>
      <w:r>
        <w:rPr>
          <w:szCs w:val="21"/>
        </w:rPr>
        <w:t>3次，7月～8月</w:t>
      </w:r>
      <w:r>
        <w:rPr>
          <w:rFonts w:hint="eastAsia"/>
          <w:szCs w:val="21"/>
        </w:rPr>
        <w:t>每</w:t>
      </w:r>
      <w:r>
        <w:rPr>
          <w:szCs w:val="21"/>
        </w:rPr>
        <w:t>日投喂3次～4次，9月</w:t>
      </w:r>
      <w:r>
        <w:rPr>
          <w:rFonts w:hint="eastAsia"/>
          <w:szCs w:val="21"/>
        </w:rPr>
        <w:t>每</w:t>
      </w:r>
      <w:r>
        <w:rPr>
          <w:szCs w:val="21"/>
        </w:rPr>
        <w:t>日投喂2次～3次</w:t>
      </w:r>
      <w:r>
        <w:rPr>
          <w:rFonts w:hint="eastAsia"/>
          <w:szCs w:val="21"/>
        </w:rPr>
        <w:t>；</w:t>
      </w:r>
      <w:r>
        <w:rPr>
          <w:rFonts w:ascii="Times New Roman"/>
          <w:szCs w:val="21"/>
        </w:rPr>
        <w:t>每次投喂</w:t>
      </w:r>
      <w:r>
        <w:rPr>
          <w:rFonts w:ascii="Times New Roman" w:hint="eastAsia"/>
          <w:szCs w:val="21"/>
        </w:rPr>
        <w:t>不少于</w:t>
      </w:r>
      <w:r>
        <w:rPr>
          <w:rFonts w:ascii="Times New Roman" w:hint="eastAsia"/>
          <w:szCs w:val="21"/>
        </w:rPr>
        <w:t>45</w:t>
      </w:r>
      <w:r>
        <w:rPr>
          <w:rFonts w:ascii="Times New Roman"/>
          <w:szCs w:val="21"/>
        </w:rPr>
        <w:t>min</w:t>
      </w:r>
      <w:r>
        <w:rPr>
          <w:rFonts w:ascii="Times New Roman" w:hint="eastAsia"/>
          <w:szCs w:val="21"/>
        </w:rPr>
        <w:t>；</w:t>
      </w:r>
      <w:r>
        <w:rPr>
          <w:rFonts w:ascii="Times New Roman"/>
          <w:szCs w:val="21"/>
        </w:rPr>
        <w:t>人工投喂和机械投喂均可。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7.3.3 投喂量</w:t>
      </w:r>
    </w:p>
    <w:p w:rsidR="009F044E" w:rsidRDefault="009F189B">
      <w:pPr>
        <w:pStyle w:val="af7"/>
        <w:spacing w:line="360" w:lineRule="auto"/>
        <w:ind w:firstLineChars="250" w:firstLine="525"/>
        <w:rPr>
          <w:rFonts w:ascii="Times New Roman"/>
          <w:szCs w:val="21"/>
        </w:rPr>
      </w:pPr>
      <w:r>
        <w:rPr>
          <w:rFonts w:ascii="Times New Roman"/>
          <w:szCs w:val="21"/>
        </w:rPr>
        <w:t>3</w:t>
      </w:r>
      <w:r>
        <w:rPr>
          <w:rFonts w:ascii="Times New Roman"/>
          <w:szCs w:val="21"/>
        </w:rPr>
        <w:t>月～</w:t>
      </w:r>
      <w:r>
        <w:rPr>
          <w:rFonts w:ascii="Times New Roman"/>
          <w:szCs w:val="21"/>
        </w:rPr>
        <w:t>7</w:t>
      </w:r>
      <w:r>
        <w:rPr>
          <w:rFonts w:ascii="Times New Roman"/>
          <w:szCs w:val="21"/>
        </w:rPr>
        <w:t>月投饵率</w:t>
      </w:r>
      <w:r>
        <w:rPr>
          <w:rFonts w:ascii="Times New Roman" w:hint="eastAsia"/>
          <w:szCs w:val="21"/>
        </w:rPr>
        <w:t>为鱼体重</w:t>
      </w:r>
      <w:r>
        <w:rPr>
          <w:rFonts w:ascii="Times New Roman"/>
          <w:szCs w:val="21"/>
        </w:rPr>
        <w:t>5%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8</w:t>
      </w:r>
      <w:r>
        <w:rPr>
          <w:rFonts w:ascii="Times New Roman"/>
          <w:szCs w:val="21"/>
        </w:rPr>
        <w:t>月投饵率为</w:t>
      </w:r>
      <w:r>
        <w:rPr>
          <w:rFonts w:ascii="Times New Roman" w:hint="eastAsia"/>
          <w:szCs w:val="21"/>
        </w:rPr>
        <w:t>鱼体重</w:t>
      </w:r>
      <w:r>
        <w:rPr>
          <w:rFonts w:ascii="Times New Roman"/>
          <w:szCs w:val="21"/>
        </w:rPr>
        <w:t>3%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4%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9</w:t>
      </w:r>
      <w:r>
        <w:rPr>
          <w:rFonts w:ascii="Times New Roman"/>
          <w:szCs w:val="21"/>
        </w:rPr>
        <w:t>月投饵率为</w:t>
      </w:r>
      <w:r>
        <w:rPr>
          <w:rFonts w:ascii="Times New Roman" w:hint="eastAsia"/>
          <w:szCs w:val="21"/>
        </w:rPr>
        <w:t>鱼体重</w:t>
      </w:r>
      <w:r>
        <w:rPr>
          <w:rFonts w:ascii="Times New Roman"/>
          <w:szCs w:val="21"/>
        </w:rPr>
        <w:t>5%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lastRenderedPageBreak/>
        <w:t>8</w:t>
      </w:r>
      <w:r>
        <w:rPr>
          <w:szCs w:val="21"/>
        </w:rPr>
        <w:t>.  病害防治</w:t>
      </w:r>
    </w:p>
    <w:p w:rsidR="009F044E" w:rsidRDefault="009F189B" w:rsidP="00BA2AD8">
      <w:pPr>
        <w:pStyle w:val="1"/>
        <w:spacing w:beforeLines="50" w:afterLines="50" w:line="360" w:lineRule="auto"/>
        <w:contextualSpacing/>
        <w:rPr>
          <w:sz w:val="21"/>
        </w:rPr>
      </w:pPr>
      <w:r>
        <w:rPr>
          <w:sz w:val="21"/>
        </w:rPr>
        <w:t>鱼种放养前，</w:t>
      </w:r>
      <w:r>
        <w:rPr>
          <w:rFonts w:hint="eastAsia"/>
          <w:sz w:val="21"/>
        </w:rPr>
        <w:t>应</w:t>
      </w:r>
      <w:r>
        <w:rPr>
          <w:sz w:val="21"/>
        </w:rPr>
        <w:t>用</w:t>
      </w:r>
      <w:r>
        <w:rPr>
          <w:rFonts w:hint="eastAsia"/>
          <w:sz w:val="21"/>
        </w:rPr>
        <w:t>氯化钠浸浴（</w:t>
      </w:r>
      <w:r>
        <w:rPr>
          <w:rFonts w:hint="eastAsia"/>
          <w:sz w:val="21"/>
        </w:rPr>
        <w:t>1%</w:t>
      </w:r>
      <w:r>
        <w:rPr>
          <w:rFonts w:hint="eastAsia"/>
          <w:sz w:val="21"/>
        </w:rPr>
        <w:t>～</w:t>
      </w:r>
      <w:r>
        <w:rPr>
          <w:rFonts w:hint="eastAsia"/>
          <w:sz w:val="21"/>
        </w:rPr>
        <w:t>3%</w:t>
      </w:r>
      <w:r>
        <w:rPr>
          <w:rFonts w:hint="eastAsia"/>
          <w:sz w:val="21"/>
        </w:rPr>
        <w:t>，</w:t>
      </w:r>
      <w:r>
        <w:rPr>
          <w:rFonts w:hint="eastAsia"/>
          <w:sz w:val="21"/>
        </w:rPr>
        <w:t>5min~20min</w:t>
      </w:r>
      <w:r>
        <w:rPr>
          <w:rFonts w:hint="eastAsia"/>
          <w:sz w:val="21"/>
        </w:rPr>
        <w:t>）</w:t>
      </w:r>
      <w:r>
        <w:rPr>
          <w:sz w:val="21"/>
        </w:rPr>
        <w:t>清除敌害生物。放养前按照</w:t>
      </w:r>
      <w:r>
        <w:rPr>
          <w:sz w:val="21"/>
        </w:rPr>
        <w:t>NY/T 755</w:t>
      </w:r>
      <w:r>
        <w:rPr>
          <w:sz w:val="21"/>
        </w:rPr>
        <w:t>注射草鱼出血病灭活疫苗，赤皮病、烂鳃病、小瓜虫病预防浸浴宜按照</w:t>
      </w:r>
      <w:r>
        <w:rPr>
          <w:rFonts w:hint="eastAsia"/>
          <w:sz w:val="21"/>
        </w:rPr>
        <w:t>附录</w:t>
      </w:r>
      <w:r>
        <w:rPr>
          <w:sz w:val="21"/>
        </w:rPr>
        <w:t>B.1</w:t>
      </w:r>
      <w:r>
        <w:rPr>
          <w:sz w:val="21"/>
        </w:rPr>
        <w:t>中规定。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应符合</w:t>
      </w:r>
      <w:r>
        <w:rPr>
          <w:rFonts w:ascii="Times New Roman"/>
          <w:szCs w:val="21"/>
        </w:rPr>
        <w:t>无病先防，有病早治，全面预防，积极治疗的原则</w:t>
      </w:r>
      <w:r>
        <w:rPr>
          <w:rFonts w:ascii="Times New Roman" w:hint="eastAsia"/>
          <w:szCs w:val="21"/>
        </w:rPr>
        <w:t>。使用药物执行</w:t>
      </w:r>
      <w:r>
        <w:rPr>
          <w:rFonts w:ascii="Times New Roman" w:hint="eastAsia"/>
          <w:szCs w:val="21"/>
        </w:rPr>
        <w:t>NY/T 755</w:t>
      </w:r>
      <w:r>
        <w:rPr>
          <w:rFonts w:ascii="Times New Roman" w:hint="eastAsia"/>
          <w:szCs w:val="21"/>
        </w:rPr>
        <w:t>、</w:t>
      </w:r>
      <w:r>
        <w:rPr>
          <w:rFonts w:ascii="Times New Roman" w:hint="eastAsia"/>
          <w:szCs w:val="21"/>
        </w:rPr>
        <w:t>NY</w:t>
      </w:r>
      <w:r>
        <w:rPr>
          <w:rFonts w:ascii="Times New Roman"/>
          <w:szCs w:val="21"/>
        </w:rPr>
        <w:t>/</w:t>
      </w:r>
      <w:r>
        <w:rPr>
          <w:rFonts w:ascii="Times New Roman" w:hint="eastAsia"/>
          <w:szCs w:val="21"/>
        </w:rPr>
        <w:t>T</w:t>
      </w:r>
      <w:r>
        <w:rPr>
          <w:rFonts w:ascii="Times New Roman"/>
          <w:szCs w:val="21"/>
        </w:rPr>
        <w:t xml:space="preserve"> 393</w:t>
      </w:r>
      <w:r>
        <w:rPr>
          <w:rFonts w:ascii="Times New Roman" w:hint="eastAsia"/>
          <w:szCs w:val="21"/>
        </w:rPr>
        <w:t>和</w:t>
      </w:r>
      <w:r>
        <w:rPr>
          <w:rFonts w:ascii="Times New Roman" w:hint="eastAsia"/>
          <w:szCs w:val="21"/>
        </w:rPr>
        <w:t>NY</w:t>
      </w:r>
      <w:r>
        <w:rPr>
          <w:rFonts w:ascii="Times New Roman"/>
          <w:szCs w:val="21"/>
        </w:rPr>
        <w:t xml:space="preserve"> 5071</w:t>
      </w:r>
      <w:r>
        <w:rPr>
          <w:rFonts w:ascii="Times New Roman" w:hint="eastAsia"/>
          <w:szCs w:val="21"/>
        </w:rPr>
        <w:t>的标准要求。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t>9</w:t>
      </w:r>
      <w:r>
        <w:rPr>
          <w:szCs w:val="21"/>
        </w:rPr>
        <w:t xml:space="preserve">.  </w:t>
      </w:r>
      <w:r>
        <w:rPr>
          <w:rFonts w:hint="eastAsia"/>
          <w:szCs w:val="21"/>
        </w:rPr>
        <w:t>养殖尾水排放及生产废弃物处理</w:t>
      </w:r>
    </w:p>
    <w:p w:rsidR="009F044E" w:rsidRDefault="009F189B">
      <w:pPr>
        <w:spacing w:line="360" w:lineRule="auto"/>
        <w:ind w:firstLine="420"/>
        <w:rPr>
          <w:rFonts w:eastAsia="SimHei"/>
          <w:sz w:val="21"/>
          <w:szCs w:val="21"/>
        </w:rPr>
      </w:pPr>
      <w:r>
        <w:rPr>
          <w:sz w:val="21"/>
          <w:szCs w:val="21"/>
        </w:rPr>
        <w:t>池塘排放养殖水水质应符合</w:t>
      </w:r>
      <w:r>
        <w:rPr>
          <w:rFonts w:hint="eastAsia"/>
          <w:sz w:val="21"/>
          <w:szCs w:val="21"/>
        </w:rPr>
        <w:t>SC/T9101</w:t>
      </w:r>
      <w:r>
        <w:rPr>
          <w:sz w:val="21"/>
          <w:szCs w:val="21"/>
        </w:rPr>
        <w:t>淡水</w:t>
      </w:r>
      <w:r>
        <w:rPr>
          <w:rFonts w:hint="eastAsia"/>
          <w:sz w:val="21"/>
          <w:szCs w:val="21"/>
        </w:rPr>
        <w:t>池塘养殖水排放要求。生产资料包装物使用后当场收集或集中处理，不应引起环境污染。养殖生产粪污及底泥经发酵后作为肥力还田，也可将其收集处理用于其他用途，不应随意排放。病死鱼无害化处理按《病死及病害动物无害化处理技术规范》（农医发[2017]25号）执行，选用合适处理方法进行无害化处理，一般推荐选择深埋法处理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1</w:t>
      </w:r>
      <w:r>
        <w:rPr>
          <w:rFonts w:ascii="Times New Roman" w:eastAsiaTheme="minorEastAsia" w:hint="eastAsia"/>
          <w:szCs w:val="21"/>
        </w:rPr>
        <w:t>0</w:t>
      </w:r>
      <w:r>
        <w:rPr>
          <w:rFonts w:ascii="Times New Roman"/>
          <w:szCs w:val="21"/>
        </w:rPr>
        <w:t xml:space="preserve">. </w:t>
      </w:r>
      <w:r>
        <w:rPr>
          <w:rFonts w:ascii="Times New Roman" w:hint="eastAsia"/>
          <w:szCs w:val="21"/>
        </w:rPr>
        <w:t>收获、包装、</w:t>
      </w:r>
      <w:r>
        <w:rPr>
          <w:rFonts w:ascii="Times New Roman"/>
          <w:szCs w:val="21"/>
        </w:rPr>
        <w:t>贮</w:t>
      </w:r>
      <w:r>
        <w:rPr>
          <w:rFonts w:ascii="Times New Roman" w:hint="eastAsia"/>
          <w:szCs w:val="21"/>
        </w:rPr>
        <w:t>藏和运输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10.1 收获</w:t>
      </w:r>
    </w:p>
    <w:p w:rsidR="009F044E" w:rsidRDefault="009F189B">
      <w:pPr>
        <w:shd w:val="clear" w:color="auto" w:fill="FFFFFF"/>
        <w:spacing w:line="380" w:lineRule="exact"/>
        <w:ind w:firstLineChars="250" w:firstLine="525"/>
        <w:rPr>
          <w:sz w:val="21"/>
          <w:szCs w:val="21"/>
        </w:rPr>
      </w:pPr>
      <w:r>
        <w:rPr>
          <w:sz w:val="21"/>
          <w:szCs w:val="21"/>
        </w:rPr>
        <w:t>规格</w:t>
      </w:r>
      <w:r>
        <w:rPr>
          <w:rFonts w:hint="eastAsia"/>
          <w:sz w:val="21"/>
          <w:szCs w:val="21"/>
        </w:rPr>
        <w:t>达到</w:t>
      </w:r>
      <w:r>
        <w:rPr>
          <w:sz w:val="21"/>
          <w:szCs w:val="21"/>
        </w:rPr>
        <w:t>1000g以上即可收获上市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>排出池水，留1 m深水，用拉网捕获。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10.2 包装</w:t>
      </w:r>
    </w:p>
    <w:p w:rsidR="009F044E" w:rsidRDefault="009F189B">
      <w:pPr>
        <w:pStyle w:val="af"/>
        <w:spacing w:line="400" w:lineRule="exact"/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包装应符合</w:t>
      </w:r>
      <w:bookmarkStart w:id="24" w:name="OLE_LINK116"/>
      <w:bookmarkStart w:id="25" w:name="OLE_LINK115"/>
      <w:r>
        <w:rPr>
          <w:rFonts w:ascii="Times New Roman" w:hAnsi="Times New Roman"/>
          <w:sz w:val="21"/>
          <w:szCs w:val="21"/>
        </w:rPr>
        <w:t>NY/T 65</w:t>
      </w:r>
      <w:bookmarkEnd w:id="24"/>
      <w:bookmarkEnd w:id="25"/>
      <w:r>
        <w:rPr>
          <w:rFonts w:ascii="Times New Roman" w:hAnsi="Times New Roman"/>
          <w:sz w:val="21"/>
          <w:szCs w:val="21"/>
        </w:rPr>
        <w:t>8</w:t>
      </w:r>
      <w:r>
        <w:rPr>
          <w:rFonts w:ascii="Times New Roman" w:hAnsi="Times New Roman" w:hint="eastAsia"/>
          <w:sz w:val="21"/>
          <w:szCs w:val="21"/>
        </w:rPr>
        <w:t>通用准则</w:t>
      </w:r>
      <w:r>
        <w:rPr>
          <w:rFonts w:ascii="Times New Roman" w:hAnsi="Times New Roman"/>
          <w:sz w:val="21"/>
          <w:szCs w:val="21"/>
        </w:rPr>
        <w:t>要求。活鱼可用帆布桶、活鱼箱、尼龙袋充氧等或采用保活设施；鲜鱼应装于无毒、无味、便于冲洗的鱼箱或保温鱼箱中，确保鱼的鲜度及鱼体的完好。在鱼箱中需放足量的碎冰，以保持鱼体温度在</w:t>
      </w:r>
      <w:r>
        <w:rPr>
          <w:rFonts w:ascii="Times New Roman" w:hAnsi="Times New Roman"/>
          <w:sz w:val="21"/>
          <w:szCs w:val="21"/>
        </w:rPr>
        <w:t>0℃</w:t>
      </w:r>
      <w:r>
        <w:rPr>
          <w:rFonts w:ascii="Times New Roman" w:hAnsi="Times New Roman"/>
          <w:sz w:val="21"/>
          <w:szCs w:val="21"/>
        </w:rPr>
        <w:t>～</w:t>
      </w:r>
      <w:r>
        <w:rPr>
          <w:rFonts w:ascii="Times New Roman" w:hAnsi="Times New Roman"/>
          <w:sz w:val="21"/>
          <w:szCs w:val="21"/>
        </w:rPr>
        <w:t>4℃</w:t>
      </w:r>
      <w:r>
        <w:rPr>
          <w:rFonts w:ascii="Times New Roman" w:hAnsi="Times New Roman"/>
          <w:sz w:val="21"/>
          <w:szCs w:val="21"/>
        </w:rPr>
        <w:t>之间。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 xml:space="preserve">10.3 贮藏和运输 </w:t>
      </w:r>
    </w:p>
    <w:p w:rsidR="009F044E" w:rsidRDefault="009F189B">
      <w:pPr>
        <w:pStyle w:val="af"/>
        <w:spacing w:line="400" w:lineRule="exact"/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贮藏运输按</w:t>
      </w:r>
      <w:bookmarkStart w:id="26" w:name="OLE_LINK117"/>
      <w:bookmarkStart w:id="27" w:name="OLE_LINK118"/>
      <w:r>
        <w:rPr>
          <w:rFonts w:ascii="Times New Roman" w:hAnsi="Times New Roman"/>
          <w:sz w:val="21"/>
          <w:szCs w:val="21"/>
        </w:rPr>
        <w:t>NY/T 1056</w:t>
      </w:r>
      <w:bookmarkEnd w:id="26"/>
      <w:bookmarkEnd w:id="27"/>
      <w:r>
        <w:rPr>
          <w:rFonts w:ascii="Times New Roman" w:hAnsi="Times New Roman"/>
          <w:sz w:val="21"/>
          <w:szCs w:val="21"/>
        </w:rPr>
        <w:t>的规定执行。</w:t>
      </w:r>
      <w:r>
        <w:rPr>
          <w:rFonts w:ascii="Times New Roman" w:hAnsi="Times New Roman" w:hint="eastAsia"/>
          <w:sz w:val="21"/>
          <w:szCs w:val="21"/>
        </w:rPr>
        <w:t>暂养和运输水应符合</w:t>
      </w:r>
      <w:r>
        <w:rPr>
          <w:rFonts w:ascii="Times New Roman" w:hAnsi="Times New Roman" w:hint="eastAsia"/>
          <w:sz w:val="21"/>
          <w:szCs w:val="21"/>
        </w:rPr>
        <w:t>NY/T 391</w:t>
      </w:r>
      <w:r>
        <w:rPr>
          <w:rFonts w:ascii="Times New Roman" w:hAnsi="Times New Roman" w:hint="eastAsia"/>
          <w:sz w:val="21"/>
          <w:szCs w:val="21"/>
        </w:rPr>
        <w:t>的要求。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1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养殖尾水排放及废弃物处理</w:t>
      </w:r>
    </w:p>
    <w:p w:rsidR="009F044E" w:rsidRDefault="009F189B">
      <w:pPr>
        <w:pStyle w:val="af7"/>
        <w:spacing w:line="360" w:lineRule="auto"/>
        <w:rPr>
          <w:szCs w:val="21"/>
        </w:rPr>
      </w:pPr>
      <w:r>
        <w:rPr>
          <w:rFonts w:ascii="Times New Roman" w:hint="eastAsia"/>
          <w:szCs w:val="21"/>
        </w:rPr>
        <w:t>有机废弃物存储恰当，降低环境污染风险。垃圾、废物、废水等按照法律规定处置，废水外排时，应满足</w:t>
      </w:r>
      <w:r>
        <w:rPr>
          <w:rFonts w:ascii="Times New Roman" w:hint="eastAsia"/>
          <w:szCs w:val="21"/>
        </w:rPr>
        <w:t>SC/T 9101</w:t>
      </w:r>
      <w:r>
        <w:rPr>
          <w:rFonts w:ascii="Times New Roman" w:hint="eastAsia"/>
          <w:szCs w:val="21"/>
        </w:rPr>
        <w:t>的要求。清除的淤泥经无害化后用作肥料等加以资源化利用。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 xml:space="preserve">  </w:t>
      </w:r>
      <w:r>
        <w:rPr>
          <w:rFonts w:ascii="Times New Roman" w:hint="eastAsia"/>
          <w:szCs w:val="21"/>
        </w:rPr>
        <w:t>日常管理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lastRenderedPageBreak/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 xml:space="preserve">.1 </w:t>
      </w:r>
      <w:r>
        <w:rPr>
          <w:rFonts w:ascii="Times New Roman" w:hint="eastAsia"/>
          <w:szCs w:val="21"/>
        </w:rPr>
        <w:t>巡塘</w:t>
      </w:r>
    </w:p>
    <w:p w:rsidR="009F044E" w:rsidRDefault="009F189B">
      <w:pPr>
        <w:pStyle w:val="af7"/>
        <w:spacing w:line="360" w:lineRule="auto"/>
        <w:ind w:firstLineChars="0" w:firstLine="0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每天巡塘不少于两次，宜在清晨观察水色和鱼的动态，及时处理浮头和鱼病。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>.</w:t>
      </w:r>
      <w:r>
        <w:rPr>
          <w:rFonts w:ascii="Times New Roman"/>
          <w:szCs w:val="21"/>
        </w:rPr>
        <w:t xml:space="preserve">2 </w:t>
      </w:r>
      <w:r>
        <w:rPr>
          <w:rFonts w:ascii="Times New Roman"/>
          <w:szCs w:val="21"/>
        </w:rPr>
        <w:t>水质检测</w:t>
      </w:r>
    </w:p>
    <w:p w:rsidR="009F044E" w:rsidRDefault="009F189B">
      <w:pPr>
        <w:spacing w:line="360" w:lineRule="auto"/>
        <w:ind w:firstLineChars="200" w:firstLine="480"/>
        <w:rPr>
          <w:sz w:val="21"/>
          <w:szCs w:val="21"/>
        </w:rPr>
      </w:pPr>
      <w:r>
        <w:rPr>
          <w:rFonts w:ascii="Times New Roman"/>
          <w:szCs w:val="21"/>
        </w:rPr>
        <w:t>定时测量水温、溶解氧、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值、透明度、氨氮、亚硝酸盐、总碱度、总硬度等指标，其中溶解氧、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值、氨氮、亚硝酸盐、总碱度、总硬度建议采用便携式水质分析仪测定。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>.</w:t>
      </w:r>
      <w:r>
        <w:rPr>
          <w:rFonts w:ascii="Times New Roman"/>
          <w:szCs w:val="21"/>
        </w:rPr>
        <w:t>3</w:t>
      </w:r>
      <w:r>
        <w:rPr>
          <w:rFonts w:ascii="Times New Roman" w:hint="eastAsia"/>
          <w:szCs w:val="21"/>
        </w:rPr>
        <w:t xml:space="preserve">  </w:t>
      </w:r>
      <w:r>
        <w:rPr>
          <w:rFonts w:ascii="Times New Roman" w:hint="eastAsia"/>
          <w:szCs w:val="21"/>
        </w:rPr>
        <w:t>生产档案记录</w:t>
      </w:r>
    </w:p>
    <w:p w:rsidR="009F044E" w:rsidRDefault="009F189B">
      <w:pPr>
        <w:spacing w:line="360" w:lineRule="auto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按《</w:t>
      </w:r>
      <w:r>
        <w:rPr>
          <w:sz w:val="21"/>
          <w:szCs w:val="21"/>
        </w:rPr>
        <w:t>中华人民共和国农业部令（2003）第[31]号水产养殖质量安全管理规定</w:t>
      </w:r>
      <w:r>
        <w:rPr>
          <w:rFonts w:hint="eastAsia"/>
          <w:sz w:val="21"/>
          <w:szCs w:val="21"/>
        </w:rPr>
        <w:t>》建立养殖池塘档案，做好全程养殖生产的各项记录。</w:t>
      </w:r>
      <w:r>
        <w:rPr>
          <w:sz w:val="21"/>
          <w:szCs w:val="21"/>
        </w:rPr>
        <w:t>档案记录应符合</w:t>
      </w:r>
      <w:bookmarkStart w:id="28" w:name="OLE_LINK137"/>
      <w:bookmarkStart w:id="29" w:name="OLE_LINK136"/>
      <w:bookmarkStart w:id="30" w:name="OLE_LINK139"/>
      <w:bookmarkStart w:id="31" w:name="OLE_LINK138"/>
      <w:r>
        <w:rPr>
          <w:sz w:val="21"/>
          <w:szCs w:val="21"/>
        </w:rPr>
        <w:t>NY/T 3204-201</w:t>
      </w:r>
      <w:bookmarkEnd w:id="28"/>
      <w:bookmarkEnd w:id="29"/>
      <w:r>
        <w:rPr>
          <w:sz w:val="21"/>
          <w:szCs w:val="21"/>
        </w:rPr>
        <w:t>8</w:t>
      </w:r>
      <w:bookmarkEnd w:id="30"/>
      <w:bookmarkEnd w:id="31"/>
      <w:r>
        <w:rPr>
          <w:sz w:val="21"/>
          <w:szCs w:val="21"/>
        </w:rPr>
        <w:t>中要求</w:t>
      </w:r>
      <w:r>
        <w:rPr>
          <w:rFonts w:hint="eastAsia"/>
          <w:sz w:val="21"/>
          <w:szCs w:val="21"/>
        </w:rPr>
        <w:t>。</w:t>
      </w:r>
    </w:p>
    <w:p w:rsidR="009F044E" w:rsidRDefault="009F189B">
      <w:pPr>
        <w:pStyle w:val="a5"/>
        <w:numPr>
          <w:ilvl w:val="0"/>
          <w:numId w:val="5"/>
        </w:numPr>
        <w:ind w:left="0" w:firstLine="0"/>
        <w:rPr>
          <w:szCs w:val="21"/>
        </w:rPr>
      </w:pPr>
      <w:r>
        <w:rPr>
          <w:sz w:val="21"/>
          <w:szCs w:val="21"/>
        </w:rPr>
        <w:br w:type="page"/>
      </w:r>
      <w:bookmarkStart w:id="32" w:name="OLE_LINK121"/>
      <w:bookmarkStart w:id="33" w:name="OLE_LINK122"/>
      <w:r>
        <w:rPr>
          <w:sz w:val="21"/>
          <w:szCs w:val="21"/>
        </w:rPr>
        <w:lastRenderedPageBreak/>
        <w:br/>
      </w:r>
      <w:r>
        <w:rPr>
          <w:rFonts w:hint="eastAsia"/>
          <w:sz w:val="21"/>
          <w:szCs w:val="21"/>
        </w:rPr>
        <w:t>（资料性）</w:t>
      </w:r>
      <w:r>
        <w:rPr>
          <w:sz w:val="21"/>
          <w:szCs w:val="21"/>
        </w:rPr>
        <w:br/>
        <w:t xml:space="preserve"> </w:t>
      </w:r>
      <w:r>
        <w:rPr>
          <w:rFonts w:hint="eastAsia"/>
          <w:sz w:val="21"/>
          <w:szCs w:val="21"/>
        </w:rPr>
        <w:t>绿色食品草鱼池塘养殖鱼种放养方式参考表</w:t>
      </w:r>
      <w:bookmarkEnd w:id="32"/>
      <w:bookmarkEnd w:id="33"/>
    </w:p>
    <w:tbl>
      <w:tblPr>
        <w:tblW w:w="92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6"/>
        <w:gridCol w:w="1002"/>
        <w:gridCol w:w="990"/>
        <w:gridCol w:w="771"/>
        <w:gridCol w:w="1586"/>
        <w:gridCol w:w="1732"/>
        <w:gridCol w:w="1794"/>
      </w:tblGrid>
      <w:tr w:rsidR="009F044E">
        <w:trPr>
          <w:trHeight w:val="28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地区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饲养周期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（年）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放养时间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种类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放养类型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放养规格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（g)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放养密度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（尾</w:t>
            </w:r>
            <w:r>
              <w:rPr>
                <w:color w:val="00000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z w:val="21"/>
                <w:szCs w:val="21"/>
              </w:rPr>
              <w:t>亩）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东北地区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4月～5月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华北地区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秋 放:10月～11月   春 放: 3月～4月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团头鲂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西北地区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冬放:11月～ 12 月;春放:3月～4 月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360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160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团头鲂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西南地区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冬放: 11月～12月;春放:3月底前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50-400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15-150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670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珠江三角洲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1.5～2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11月底至翌年3月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长江下游地区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春节前后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150-200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345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长江中上游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冬放:11月～12月;春放:2月～3月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</w:tr>
    </w:tbl>
    <w:p w:rsidR="009F044E" w:rsidRDefault="009F189B">
      <w:pPr>
        <w:pStyle w:val="a5"/>
        <w:numPr>
          <w:ilvl w:val="0"/>
          <w:numId w:val="5"/>
        </w:numPr>
        <w:ind w:left="0" w:firstLine="0"/>
      </w:pPr>
      <w:r>
        <w:br w:type="page"/>
      </w:r>
      <w:r>
        <w:lastRenderedPageBreak/>
        <w:br/>
      </w:r>
      <w:r>
        <w:rPr>
          <w:rFonts w:hint="eastAsia"/>
        </w:rPr>
        <w:t>（资料性）</w:t>
      </w:r>
      <w:r>
        <w:br/>
      </w:r>
      <w:r>
        <w:rPr>
          <w:rFonts w:hint="eastAsia"/>
        </w:rPr>
        <w:t>草鱼常见病害、诊断方法和处置措施</w:t>
      </w:r>
    </w:p>
    <w:tbl>
      <w:tblPr>
        <w:tblW w:w="81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340"/>
        <w:gridCol w:w="1769"/>
        <w:gridCol w:w="1871"/>
        <w:gridCol w:w="1180"/>
        <w:gridCol w:w="1153"/>
      </w:tblGrid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防治对象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防治时期</w:t>
            </w:r>
          </w:p>
        </w:tc>
        <w:tc>
          <w:tcPr>
            <w:tcW w:w="1769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鱼药名称</w:t>
            </w: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使用剂量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使用方法</w:t>
            </w:r>
          </w:p>
        </w:tc>
        <w:tc>
          <w:tcPr>
            <w:tcW w:w="1153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安全间隔期</w:t>
            </w:r>
          </w:p>
        </w:tc>
      </w:tr>
      <w:tr w:rsidR="009F044E">
        <w:trPr>
          <w:trHeight w:val="1220"/>
        </w:trPr>
        <w:tc>
          <w:tcPr>
            <w:tcW w:w="851" w:type="dxa"/>
            <w:vMerge w:val="restart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出血病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  <w:vMerge w:val="restart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6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0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769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草鱼出血病灭活疫苗</w:t>
            </w: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体重</w:t>
            </w:r>
            <w:r>
              <w:rPr>
                <w:rFonts w:ascii="Times New Roman"/>
              </w:rPr>
              <w:t>12-250</w:t>
            </w:r>
            <w:r>
              <w:rPr>
                <w:rFonts w:ascii="Times New Roman" w:hint="eastAsia"/>
              </w:rPr>
              <w:t>g</w:t>
            </w:r>
            <w:r>
              <w:rPr>
                <w:rFonts w:ascii="Times New Roman" w:hint="eastAsia"/>
              </w:rPr>
              <w:t>每尾注射</w:t>
            </w:r>
            <w:r>
              <w:rPr>
                <w:rFonts w:ascii="Times New Roman"/>
              </w:rPr>
              <w:t>0.2</w:t>
            </w:r>
            <w:r>
              <w:rPr>
                <w:rFonts w:ascii="Times New Roman" w:hint="eastAsia"/>
              </w:rPr>
              <w:t>m</w:t>
            </w:r>
            <w:r>
              <w:rPr>
                <w:rFonts w:ascii="Times New Roman"/>
              </w:rPr>
              <w:t>l</w:t>
            </w:r>
            <w:r>
              <w:rPr>
                <w:rFonts w:ascii="Times New Roman" w:hint="eastAsia"/>
              </w:rPr>
              <w:t>；体重</w:t>
            </w:r>
            <w:r>
              <w:rPr>
                <w:rFonts w:ascii="Times New Roman"/>
              </w:rPr>
              <w:t>250-750</w:t>
            </w:r>
            <w:r>
              <w:rPr>
                <w:rFonts w:ascii="Times New Roman" w:hint="eastAsia"/>
              </w:rPr>
              <w:t>g</w:t>
            </w:r>
            <w:r>
              <w:rPr>
                <w:rFonts w:ascii="Times New Roman" w:hint="eastAsia"/>
              </w:rPr>
              <w:t>，每尾注射</w:t>
            </w:r>
            <w:r>
              <w:rPr>
                <w:rFonts w:ascii="Times New Roman"/>
              </w:rPr>
              <w:t>0.3</w:t>
            </w:r>
            <w:r>
              <w:rPr>
                <w:rFonts w:ascii="Times New Roman" w:hint="eastAsia"/>
              </w:rPr>
              <w:t>m</w:t>
            </w:r>
            <w:r>
              <w:rPr>
                <w:rFonts w:ascii="Times New Roman"/>
              </w:rPr>
              <w:t>l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腹腔或肌肉注射</w:t>
            </w:r>
          </w:p>
        </w:tc>
        <w:tc>
          <w:tcPr>
            <w:tcW w:w="1153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免疫期</w:t>
            </w:r>
            <w:r>
              <w:rPr>
                <w:rFonts w:ascii="Times New Roman"/>
              </w:rPr>
              <w:t>15</w:t>
            </w:r>
            <w:r>
              <w:rPr>
                <w:rFonts w:ascii="Times New Roman" w:hint="eastAsia"/>
              </w:rPr>
              <w:t>个月</w:t>
            </w:r>
          </w:p>
        </w:tc>
      </w:tr>
      <w:tr w:rsidR="009F044E">
        <w:trPr>
          <w:trHeight w:val="558"/>
        </w:trPr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肠炎病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9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赤皮病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常年可见，尤其放养或捕捞后最易发生。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烂鳃病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0</w:t>
            </w:r>
            <w:r>
              <w:rPr>
                <w:rFonts w:ascii="Times New Roman" w:hint="eastAsia"/>
              </w:rPr>
              <w:t>月，</w:t>
            </w:r>
            <w:r>
              <w:rPr>
                <w:rFonts w:ascii="Times New Roman" w:hint="eastAsia"/>
              </w:rPr>
              <w:t>7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9</w:t>
            </w:r>
            <w:r>
              <w:rPr>
                <w:rFonts w:ascii="Times New Roman" w:hint="eastAsia"/>
              </w:rPr>
              <w:t>月最严重。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小瓜虫病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初冬春末，水温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5</w:t>
            </w:r>
            <w:r>
              <w:rPr>
                <w:rFonts w:ascii="Times New Roman" w:cs="Cambria Math"/>
              </w:rPr>
              <w:t>℃</w:t>
            </w:r>
            <w:r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2</w:t>
            </w:r>
            <w:r>
              <w:rPr>
                <w:rFonts w:ascii="Times New Roman"/>
              </w:rPr>
              <w:t>5</w:t>
            </w:r>
            <w:r>
              <w:rPr>
                <w:rFonts w:ascii="Times New Roman" w:cs="Cambria Math"/>
              </w:rPr>
              <w:t>℃</w:t>
            </w:r>
          </w:p>
        </w:tc>
        <w:tc>
          <w:tcPr>
            <w:tcW w:w="1769" w:type="dxa"/>
            <w:vAlign w:val="center"/>
          </w:tcPr>
          <w:p w:rsidR="0008610B" w:rsidRPr="00AC2096" w:rsidRDefault="0008610B" w:rsidP="0008610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海水晶</w:t>
            </w:r>
            <w:r>
              <w:rPr>
                <w:rFonts w:ascii="宋体" w:hAnsi="宋体" w:hint="eastAsia"/>
                <w:szCs w:val="21"/>
              </w:rPr>
              <w:t>（有效成分：</w:t>
            </w:r>
            <w:r w:rsidRPr="00AC2096">
              <w:rPr>
                <w:rFonts w:ascii="宋体" w:hAnsi="宋体"/>
                <w:szCs w:val="21"/>
              </w:rPr>
              <w:t>NaCl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AC2096">
              <w:rPr>
                <w:rFonts w:ascii="宋体" w:hAnsi="宋体"/>
                <w:szCs w:val="21"/>
              </w:rPr>
              <w:t>MgCl</w:t>
            </w:r>
            <w:r w:rsidRPr="005B54F0">
              <w:rPr>
                <w:rFonts w:ascii="宋体" w:hAnsi="宋体"/>
                <w:szCs w:val="21"/>
                <w:vertAlign w:val="subscript"/>
              </w:rPr>
              <w:t>2</w:t>
            </w:r>
          </w:p>
          <w:p w:rsidR="009F044E" w:rsidRDefault="0008610B" w:rsidP="0008610B">
            <w:pPr>
              <w:adjustRightInd w:val="0"/>
              <w:snapToGrid w:val="0"/>
              <w:jc w:val="center"/>
              <w:rPr>
                <w:rFonts w:eastAsia="Times New Roman"/>
                <w:sz w:val="21"/>
                <w:szCs w:val="21"/>
              </w:rPr>
            </w:pPr>
            <w:r w:rsidRPr="00AC2096">
              <w:rPr>
                <w:rFonts w:ascii="宋体" w:hAnsi="宋体"/>
                <w:szCs w:val="21"/>
              </w:rPr>
              <w:t>Na</w:t>
            </w:r>
            <w:r w:rsidRPr="005B54F0">
              <w:rPr>
                <w:rFonts w:ascii="宋体" w:hAnsi="宋体"/>
                <w:szCs w:val="21"/>
                <w:vertAlign w:val="subscript"/>
              </w:rPr>
              <w:t>2</w:t>
            </w:r>
            <w:r w:rsidRPr="00AC2096">
              <w:rPr>
                <w:rFonts w:ascii="宋体" w:hAnsi="宋体"/>
                <w:szCs w:val="21"/>
              </w:rPr>
              <w:t>SO4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AC2096">
              <w:rPr>
                <w:rFonts w:ascii="宋体" w:hAnsi="宋体"/>
                <w:szCs w:val="21"/>
              </w:rPr>
              <w:t>CaCl</w:t>
            </w:r>
            <w:r w:rsidRPr="005B54F0">
              <w:rPr>
                <w:rFonts w:ascii="宋体" w:hAnsi="宋体"/>
                <w:szCs w:val="21"/>
                <w:vertAlign w:val="subscript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AC2096">
              <w:rPr>
                <w:rFonts w:ascii="宋体" w:hAnsi="宋体"/>
                <w:szCs w:val="21"/>
              </w:rPr>
              <w:t>KCl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AC2096">
              <w:rPr>
                <w:rFonts w:ascii="宋体" w:hAnsi="宋体"/>
                <w:szCs w:val="21"/>
              </w:rPr>
              <w:t>NaHCO</w:t>
            </w:r>
            <w:r w:rsidRPr="005B54F0">
              <w:rPr>
                <w:rFonts w:ascii="宋体" w:hAnsi="宋体"/>
                <w:szCs w:val="21"/>
                <w:vertAlign w:val="subscript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71" w:type="dxa"/>
            <w:vAlign w:val="center"/>
          </w:tcPr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6-7mg/L</w:t>
            </w:r>
          </w:p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（连续</w:t>
            </w:r>
            <w:r>
              <w:rPr>
                <w:sz w:val="21"/>
                <w:szCs w:val="21"/>
              </w:rPr>
              <w:t>5-7d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80" w:type="dxa"/>
            <w:vAlign w:val="center"/>
          </w:tcPr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浸浴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</w:tbl>
    <w:p w:rsidR="009F044E" w:rsidRDefault="009F044E">
      <w:pPr>
        <w:pStyle w:val="af7"/>
        <w:jc w:val="center"/>
      </w:pPr>
      <w:bookmarkStart w:id="34" w:name="_GoBack"/>
      <w:bookmarkEnd w:id="34"/>
    </w:p>
    <w:sectPr w:rsidR="009F044E" w:rsidSect="009F044E">
      <w:footerReference w:type="default" r:id="rId8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91F" w:rsidRDefault="0067091F" w:rsidP="009F044E">
      <w:r>
        <w:separator/>
      </w:r>
    </w:p>
  </w:endnote>
  <w:endnote w:type="continuationSeparator" w:id="1">
    <w:p w:rsidR="0067091F" w:rsidRDefault="0067091F" w:rsidP="009F0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4E" w:rsidRDefault="00693B91">
    <w:pPr>
      <w:pStyle w:val="afc"/>
    </w:pPr>
    <w:r>
      <w:fldChar w:fldCharType="begin"/>
    </w:r>
    <w:r w:rsidR="009F189B">
      <w:instrText xml:space="preserve"> PAGE  \* MERGEFORMAT </w:instrText>
    </w:r>
    <w:r>
      <w:fldChar w:fldCharType="separate"/>
    </w:r>
    <w:r w:rsidR="00D84A3A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91F" w:rsidRDefault="0067091F" w:rsidP="009F044E">
      <w:r>
        <w:separator/>
      </w:r>
    </w:p>
  </w:footnote>
  <w:footnote w:type="continuationSeparator" w:id="1">
    <w:p w:rsidR="0067091F" w:rsidRDefault="0067091F" w:rsidP="009F0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rPr>
        <w:rFonts w:ascii="SimHei" w:eastAsia="SimHei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SimHei" w:eastAsia="SimHei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2C363F65"/>
    <w:multiLevelType w:val="multilevel"/>
    <w:tmpl w:val="2C363F65"/>
    <w:lvl w:ilvl="0">
      <w:start w:val="1"/>
      <w:numFmt w:val="decimal"/>
      <w:pStyle w:val="a5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557C2AF5"/>
    <w:multiLevelType w:val="multilevel"/>
    <w:tmpl w:val="557C2AF5"/>
    <w:lvl w:ilvl="0">
      <w:start w:val="1"/>
      <w:numFmt w:val="decimal"/>
      <w:pStyle w:val="a6"/>
      <w:suff w:val="nothing"/>
      <w:lvlText w:val="图%1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SimHei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3">
    <w:nsid w:val="646260FA"/>
    <w:multiLevelType w:val="multilevel"/>
    <w:tmpl w:val="646260FA"/>
    <w:lvl w:ilvl="0">
      <w:start w:val="1"/>
      <w:numFmt w:val="decimal"/>
      <w:pStyle w:val="a7"/>
      <w:suff w:val="nothing"/>
      <w:lvlText w:val="表%1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5132"/>
        </w:tabs>
        <w:ind w:left="513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5558"/>
        </w:tabs>
        <w:ind w:left="555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6124"/>
        </w:tabs>
        <w:ind w:left="612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6691"/>
        </w:tabs>
        <w:ind w:left="669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7400"/>
        </w:tabs>
        <w:ind w:left="740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7967"/>
        </w:tabs>
        <w:ind w:left="796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8534"/>
        </w:tabs>
        <w:ind w:left="853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242"/>
        </w:tabs>
        <w:ind w:left="9242" w:hanging="1700"/>
      </w:pPr>
      <w:rPr>
        <w:rFonts w:cs="Times New Roman" w:hint="eastAsia"/>
      </w:rPr>
    </w:lvl>
  </w:abstractNum>
  <w:abstractNum w:abstractNumId="4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rPr>
        <w:rFonts w:ascii="SimHei" w:eastAsia="SimHei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rPr>
        <w:rFonts w:ascii="SimHei" w:eastAsia="SimHei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oNotHyphenateCaps/>
  <w:drawingGridVerticalSpacing w:val="156"/>
  <w:noPunctuationKerning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816EF8"/>
    <w:rsid w:val="99D5395F"/>
    <w:rsid w:val="9BF93FC1"/>
    <w:rsid w:val="9C9F47DF"/>
    <w:rsid w:val="9DDF2840"/>
    <w:rsid w:val="A7A56D77"/>
    <w:rsid w:val="A9FFE396"/>
    <w:rsid w:val="AB7D298F"/>
    <w:rsid w:val="B77F886D"/>
    <w:rsid w:val="BAFE35BF"/>
    <w:rsid w:val="BB455FDD"/>
    <w:rsid w:val="BBBFEF78"/>
    <w:rsid w:val="BDF9D013"/>
    <w:rsid w:val="BFD30819"/>
    <w:rsid w:val="BFDD5741"/>
    <w:rsid w:val="BFDF97AF"/>
    <w:rsid w:val="BFEF6463"/>
    <w:rsid w:val="C2DD95A2"/>
    <w:rsid w:val="CBAEBFC3"/>
    <w:rsid w:val="CEEC19CB"/>
    <w:rsid w:val="CFDD3CC5"/>
    <w:rsid w:val="D2966CD4"/>
    <w:rsid w:val="D3FA062A"/>
    <w:rsid w:val="D5EF3972"/>
    <w:rsid w:val="D73E1C18"/>
    <w:rsid w:val="D7BBFBD6"/>
    <w:rsid w:val="DB5AE40F"/>
    <w:rsid w:val="DE9D5A56"/>
    <w:rsid w:val="DF2EAF3D"/>
    <w:rsid w:val="DF8F4C08"/>
    <w:rsid w:val="DFFD18BB"/>
    <w:rsid w:val="DFFE3FC8"/>
    <w:rsid w:val="E1FED6BC"/>
    <w:rsid w:val="E67D8CC9"/>
    <w:rsid w:val="E6F5F758"/>
    <w:rsid w:val="EAFBD9A1"/>
    <w:rsid w:val="EFD5821B"/>
    <w:rsid w:val="EFDB93A3"/>
    <w:rsid w:val="EFE3F3BB"/>
    <w:rsid w:val="EFF774AF"/>
    <w:rsid w:val="EFFF1242"/>
    <w:rsid w:val="F667A783"/>
    <w:rsid w:val="F778D3AF"/>
    <w:rsid w:val="F7AB6CB9"/>
    <w:rsid w:val="F7DD956F"/>
    <w:rsid w:val="F7ECB9A7"/>
    <w:rsid w:val="F9578D49"/>
    <w:rsid w:val="F9EE5238"/>
    <w:rsid w:val="FA6F2988"/>
    <w:rsid w:val="FAFD678E"/>
    <w:rsid w:val="FB53CF5C"/>
    <w:rsid w:val="FB9A492F"/>
    <w:rsid w:val="FBDC5674"/>
    <w:rsid w:val="FBEFC8C3"/>
    <w:rsid w:val="FD25F531"/>
    <w:rsid w:val="FEFAE99B"/>
    <w:rsid w:val="FEFF5FC6"/>
    <w:rsid w:val="FF3D33FF"/>
    <w:rsid w:val="FF714390"/>
    <w:rsid w:val="FF77352C"/>
    <w:rsid w:val="FF7C065F"/>
    <w:rsid w:val="FF7F6FCC"/>
    <w:rsid w:val="FF878B6D"/>
    <w:rsid w:val="FFBF1E99"/>
    <w:rsid w:val="FFDB0573"/>
    <w:rsid w:val="FFE77892"/>
    <w:rsid w:val="FFEBB1A8"/>
    <w:rsid w:val="FFEBD9A7"/>
    <w:rsid w:val="FFEF3354"/>
    <w:rsid w:val="FFF38F04"/>
    <w:rsid w:val="00012598"/>
    <w:rsid w:val="00013DE2"/>
    <w:rsid w:val="0001708A"/>
    <w:rsid w:val="0002250D"/>
    <w:rsid w:val="0002521F"/>
    <w:rsid w:val="000318BD"/>
    <w:rsid w:val="000465CC"/>
    <w:rsid w:val="000468B4"/>
    <w:rsid w:val="00053F5A"/>
    <w:rsid w:val="00054104"/>
    <w:rsid w:val="00081C05"/>
    <w:rsid w:val="0008610B"/>
    <w:rsid w:val="0008729A"/>
    <w:rsid w:val="000A41CA"/>
    <w:rsid w:val="000A5A1F"/>
    <w:rsid w:val="000A6B83"/>
    <w:rsid w:val="000C155B"/>
    <w:rsid w:val="000C5E1A"/>
    <w:rsid w:val="000D4A1F"/>
    <w:rsid w:val="000E4914"/>
    <w:rsid w:val="000F0D5D"/>
    <w:rsid w:val="000F1CED"/>
    <w:rsid w:val="000F41E4"/>
    <w:rsid w:val="000F7288"/>
    <w:rsid w:val="0011373C"/>
    <w:rsid w:val="00127245"/>
    <w:rsid w:val="001442D7"/>
    <w:rsid w:val="001467D1"/>
    <w:rsid w:val="00147B7A"/>
    <w:rsid w:val="001639FF"/>
    <w:rsid w:val="00182931"/>
    <w:rsid w:val="00197BDF"/>
    <w:rsid w:val="001A0132"/>
    <w:rsid w:val="001D6E18"/>
    <w:rsid w:val="001D7327"/>
    <w:rsid w:val="001E6B25"/>
    <w:rsid w:val="001F1C7B"/>
    <w:rsid w:val="001F6232"/>
    <w:rsid w:val="002101B4"/>
    <w:rsid w:val="00214008"/>
    <w:rsid w:val="00216066"/>
    <w:rsid w:val="0022234C"/>
    <w:rsid w:val="00227DB2"/>
    <w:rsid w:val="002308E7"/>
    <w:rsid w:val="0024161E"/>
    <w:rsid w:val="00245B1F"/>
    <w:rsid w:val="00253248"/>
    <w:rsid w:val="00257424"/>
    <w:rsid w:val="002576B6"/>
    <w:rsid w:val="002610D7"/>
    <w:rsid w:val="00267828"/>
    <w:rsid w:val="00272A9E"/>
    <w:rsid w:val="00285E3C"/>
    <w:rsid w:val="00286EF8"/>
    <w:rsid w:val="002940F1"/>
    <w:rsid w:val="002C0C9C"/>
    <w:rsid w:val="002D1D25"/>
    <w:rsid w:val="002E247A"/>
    <w:rsid w:val="002F2ADB"/>
    <w:rsid w:val="002F33F6"/>
    <w:rsid w:val="002F65D2"/>
    <w:rsid w:val="00302DA6"/>
    <w:rsid w:val="003312B9"/>
    <w:rsid w:val="00336FA1"/>
    <w:rsid w:val="0034289C"/>
    <w:rsid w:val="00350007"/>
    <w:rsid w:val="00356121"/>
    <w:rsid w:val="0035622F"/>
    <w:rsid w:val="00366D63"/>
    <w:rsid w:val="003711C9"/>
    <w:rsid w:val="00373784"/>
    <w:rsid w:val="00375A01"/>
    <w:rsid w:val="00375C84"/>
    <w:rsid w:val="00376EFF"/>
    <w:rsid w:val="0038695C"/>
    <w:rsid w:val="00387383"/>
    <w:rsid w:val="0039185C"/>
    <w:rsid w:val="003928E5"/>
    <w:rsid w:val="003A6C39"/>
    <w:rsid w:val="003D210D"/>
    <w:rsid w:val="003D37EE"/>
    <w:rsid w:val="003E2D8C"/>
    <w:rsid w:val="003F3914"/>
    <w:rsid w:val="003F7854"/>
    <w:rsid w:val="00436A82"/>
    <w:rsid w:val="004457BB"/>
    <w:rsid w:val="00452DE7"/>
    <w:rsid w:val="00460AB7"/>
    <w:rsid w:val="00461803"/>
    <w:rsid w:val="00464D4F"/>
    <w:rsid w:val="00467DB6"/>
    <w:rsid w:val="00477A5E"/>
    <w:rsid w:val="00481E86"/>
    <w:rsid w:val="004B4F61"/>
    <w:rsid w:val="004C361A"/>
    <w:rsid w:val="004C4E94"/>
    <w:rsid w:val="004C5D50"/>
    <w:rsid w:val="004D2234"/>
    <w:rsid w:val="004E25EE"/>
    <w:rsid w:val="004F6995"/>
    <w:rsid w:val="0050172A"/>
    <w:rsid w:val="005207C4"/>
    <w:rsid w:val="00534FF2"/>
    <w:rsid w:val="00544A89"/>
    <w:rsid w:val="00546B48"/>
    <w:rsid w:val="00547739"/>
    <w:rsid w:val="00555AF5"/>
    <w:rsid w:val="00585BA6"/>
    <w:rsid w:val="005A0D4B"/>
    <w:rsid w:val="005A3760"/>
    <w:rsid w:val="005B23F7"/>
    <w:rsid w:val="005B342C"/>
    <w:rsid w:val="005C3CDD"/>
    <w:rsid w:val="00606A24"/>
    <w:rsid w:val="00614AF0"/>
    <w:rsid w:val="00622E76"/>
    <w:rsid w:val="00624F79"/>
    <w:rsid w:val="00632DC3"/>
    <w:rsid w:val="00640234"/>
    <w:rsid w:val="00642EE9"/>
    <w:rsid w:val="00645842"/>
    <w:rsid w:val="00651A4D"/>
    <w:rsid w:val="00667338"/>
    <w:rsid w:val="006704FB"/>
    <w:rsid w:val="0067091F"/>
    <w:rsid w:val="00682883"/>
    <w:rsid w:val="00685554"/>
    <w:rsid w:val="00693B91"/>
    <w:rsid w:val="00697668"/>
    <w:rsid w:val="0069776C"/>
    <w:rsid w:val="006C0EC3"/>
    <w:rsid w:val="006C3296"/>
    <w:rsid w:val="006C75B1"/>
    <w:rsid w:val="006D7595"/>
    <w:rsid w:val="006E68E1"/>
    <w:rsid w:val="006F24F4"/>
    <w:rsid w:val="00711619"/>
    <w:rsid w:val="007169C4"/>
    <w:rsid w:val="0073448E"/>
    <w:rsid w:val="007370D6"/>
    <w:rsid w:val="007373A0"/>
    <w:rsid w:val="00746D38"/>
    <w:rsid w:val="007540B1"/>
    <w:rsid w:val="00760540"/>
    <w:rsid w:val="00765AD1"/>
    <w:rsid w:val="0077086A"/>
    <w:rsid w:val="007746CD"/>
    <w:rsid w:val="007960CC"/>
    <w:rsid w:val="007A0F3C"/>
    <w:rsid w:val="007A2836"/>
    <w:rsid w:val="007A4243"/>
    <w:rsid w:val="007A50EA"/>
    <w:rsid w:val="007A5F18"/>
    <w:rsid w:val="007B5D1A"/>
    <w:rsid w:val="007C3462"/>
    <w:rsid w:val="007C39C7"/>
    <w:rsid w:val="007D3DC7"/>
    <w:rsid w:val="007D74AA"/>
    <w:rsid w:val="008030F6"/>
    <w:rsid w:val="00806839"/>
    <w:rsid w:val="00816EF8"/>
    <w:rsid w:val="00817B5E"/>
    <w:rsid w:val="00825082"/>
    <w:rsid w:val="00830B16"/>
    <w:rsid w:val="00836DF7"/>
    <w:rsid w:val="00844A5F"/>
    <w:rsid w:val="00852209"/>
    <w:rsid w:val="00854664"/>
    <w:rsid w:val="00855E63"/>
    <w:rsid w:val="00862417"/>
    <w:rsid w:val="00864A4C"/>
    <w:rsid w:val="00866D18"/>
    <w:rsid w:val="0087329D"/>
    <w:rsid w:val="00873343"/>
    <w:rsid w:val="00895057"/>
    <w:rsid w:val="008959F4"/>
    <w:rsid w:val="00896367"/>
    <w:rsid w:val="00896B8B"/>
    <w:rsid w:val="008A7E2D"/>
    <w:rsid w:val="008C3E7D"/>
    <w:rsid w:val="008D6B84"/>
    <w:rsid w:val="008D6DE9"/>
    <w:rsid w:val="008D7765"/>
    <w:rsid w:val="008E683E"/>
    <w:rsid w:val="008F275F"/>
    <w:rsid w:val="009000A6"/>
    <w:rsid w:val="00906200"/>
    <w:rsid w:val="00915437"/>
    <w:rsid w:val="0093033E"/>
    <w:rsid w:val="00935D97"/>
    <w:rsid w:val="009416B3"/>
    <w:rsid w:val="00943FFA"/>
    <w:rsid w:val="009476CC"/>
    <w:rsid w:val="00950EB8"/>
    <w:rsid w:val="00956B46"/>
    <w:rsid w:val="009635DF"/>
    <w:rsid w:val="009714E6"/>
    <w:rsid w:val="00972D1C"/>
    <w:rsid w:val="009741E4"/>
    <w:rsid w:val="00974CE9"/>
    <w:rsid w:val="00996679"/>
    <w:rsid w:val="009A345F"/>
    <w:rsid w:val="009B3FE6"/>
    <w:rsid w:val="009B540E"/>
    <w:rsid w:val="009C3EB9"/>
    <w:rsid w:val="009D33FB"/>
    <w:rsid w:val="009E050B"/>
    <w:rsid w:val="009F044E"/>
    <w:rsid w:val="009F189B"/>
    <w:rsid w:val="009F7ED9"/>
    <w:rsid w:val="00A27DCC"/>
    <w:rsid w:val="00A3269A"/>
    <w:rsid w:val="00A458C3"/>
    <w:rsid w:val="00A45DA6"/>
    <w:rsid w:val="00A4663A"/>
    <w:rsid w:val="00A62EAD"/>
    <w:rsid w:val="00A662FB"/>
    <w:rsid w:val="00A72BAC"/>
    <w:rsid w:val="00A7398C"/>
    <w:rsid w:val="00A7788A"/>
    <w:rsid w:val="00A93B83"/>
    <w:rsid w:val="00A95E6C"/>
    <w:rsid w:val="00AA01F3"/>
    <w:rsid w:val="00AA1D17"/>
    <w:rsid w:val="00AC207E"/>
    <w:rsid w:val="00AC5A2C"/>
    <w:rsid w:val="00AD15FA"/>
    <w:rsid w:val="00AE2BD1"/>
    <w:rsid w:val="00AE4437"/>
    <w:rsid w:val="00AF04BD"/>
    <w:rsid w:val="00AF36BD"/>
    <w:rsid w:val="00AF5984"/>
    <w:rsid w:val="00B070F1"/>
    <w:rsid w:val="00B0786D"/>
    <w:rsid w:val="00B12815"/>
    <w:rsid w:val="00B302DE"/>
    <w:rsid w:val="00B53428"/>
    <w:rsid w:val="00B60A80"/>
    <w:rsid w:val="00B73A4C"/>
    <w:rsid w:val="00B853CD"/>
    <w:rsid w:val="00B872AA"/>
    <w:rsid w:val="00B9359D"/>
    <w:rsid w:val="00B940CC"/>
    <w:rsid w:val="00BA2AD8"/>
    <w:rsid w:val="00BA38EF"/>
    <w:rsid w:val="00BC35E1"/>
    <w:rsid w:val="00BC79E9"/>
    <w:rsid w:val="00BD45F1"/>
    <w:rsid w:val="00BE2A4B"/>
    <w:rsid w:val="00BF0068"/>
    <w:rsid w:val="00BF2298"/>
    <w:rsid w:val="00BF6356"/>
    <w:rsid w:val="00C076AE"/>
    <w:rsid w:val="00C11DE5"/>
    <w:rsid w:val="00C17472"/>
    <w:rsid w:val="00C25311"/>
    <w:rsid w:val="00C326B4"/>
    <w:rsid w:val="00C356D2"/>
    <w:rsid w:val="00C373D6"/>
    <w:rsid w:val="00C43CA5"/>
    <w:rsid w:val="00C6196C"/>
    <w:rsid w:val="00C628C2"/>
    <w:rsid w:val="00C65E6D"/>
    <w:rsid w:val="00C67765"/>
    <w:rsid w:val="00C876E4"/>
    <w:rsid w:val="00C929E0"/>
    <w:rsid w:val="00CC2445"/>
    <w:rsid w:val="00CC3DDC"/>
    <w:rsid w:val="00CC41B4"/>
    <w:rsid w:val="00CC4D02"/>
    <w:rsid w:val="00CE3C2A"/>
    <w:rsid w:val="00CF14F1"/>
    <w:rsid w:val="00CF25E3"/>
    <w:rsid w:val="00CF3967"/>
    <w:rsid w:val="00D049F9"/>
    <w:rsid w:val="00D04CB2"/>
    <w:rsid w:val="00D106E6"/>
    <w:rsid w:val="00D20AD0"/>
    <w:rsid w:val="00D231B8"/>
    <w:rsid w:val="00D311C2"/>
    <w:rsid w:val="00D3513A"/>
    <w:rsid w:val="00D414A2"/>
    <w:rsid w:val="00D46E68"/>
    <w:rsid w:val="00D5799E"/>
    <w:rsid w:val="00D61200"/>
    <w:rsid w:val="00D84A3A"/>
    <w:rsid w:val="00D85F48"/>
    <w:rsid w:val="00D918A3"/>
    <w:rsid w:val="00D92023"/>
    <w:rsid w:val="00DA5EC6"/>
    <w:rsid w:val="00DB5CA9"/>
    <w:rsid w:val="00DD010A"/>
    <w:rsid w:val="00DE4ADA"/>
    <w:rsid w:val="00DE5963"/>
    <w:rsid w:val="00E032F4"/>
    <w:rsid w:val="00E145D5"/>
    <w:rsid w:val="00E3032B"/>
    <w:rsid w:val="00E33732"/>
    <w:rsid w:val="00E600C6"/>
    <w:rsid w:val="00E62189"/>
    <w:rsid w:val="00E639E8"/>
    <w:rsid w:val="00E73AA9"/>
    <w:rsid w:val="00E81A5B"/>
    <w:rsid w:val="00E9179B"/>
    <w:rsid w:val="00E934EB"/>
    <w:rsid w:val="00E95268"/>
    <w:rsid w:val="00EB5161"/>
    <w:rsid w:val="00EF1899"/>
    <w:rsid w:val="00F0007F"/>
    <w:rsid w:val="00F1306C"/>
    <w:rsid w:val="00F24C00"/>
    <w:rsid w:val="00F50CE2"/>
    <w:rsid w:val="00F57172"/>
    <w:rsid w:val="00F57E7C"/>
    <w:rsid w:val="00F62A89"/>
    <w:rsid w:val="00F64B50"/>
    <w:rsid w:val="00F66FBE"/>
    <w:rsid w:val="00F705CC"/>
    <w:rsid w:val="00F907B5"/>
    <w:rsid w:val="00FB1C5D"/>
    <w:rsid w:val="00FD2BB9"/>
    <w:rsid w:val="00FD372A"/>
    <w:rsid w:val="00FD5EE5"/>
    <w:rsid w:val="00FE5A1E"/>
    <w:rsid w:val="0B5B5DFB"/>
    <w:rsid w:val="276DF5FE"/>
    <w:rsid w:val="2EDDD81C"/>
    <w:rsid w:val="2FCD3955"/>
    <w:rsid w:val="2FEF2D26"/>
    <w:rsid w:val="327F620C"/>
    <w:rsid w:val="32FAD227"/>
    <w:rsid w:val="35FD30C6"/>
    <w:rsid w:val="386FBC30"/>
    <w:rsid w:val="3A6E65A1"/>
    <w:rsid w:val="3C6A6944"/>
    <w:rsid w:val="3CFF1D24"/>
    <w:rsid w:val="3DDB0E3E"/>
    <w:rsid w:val="3DEF90E3"/>
    <w:rsid w:val="3E6E1F98"/>
    <w:rsid w:val="3F424468"/>
    <w:rsid w:val="3FF51B8E"/>
    <w:rsid w:val="3FFBB455"/>
    <w:rsid w:val="4AFE2B5D"/>
    <w:rsid w:val="4FA700DE"/>
    <w:rsid w:val="4FD7B0A9"/>
    <w:rsid w:val="4FF41D9C"/>
    <w:rsid w:val="573D83B1"/>
    <w:rsid w:val="57BAA097"/>
    <w:rsid w:val="57EFFBAD"/>
    <w:rsid w:val="5B4FC81A"/>
    <w:rsid w:val="5BE5209C"/>
    <w:rsid w:val="5BF7142B"/>
    <w:rsid w:val="5BFA3064"/>
    <w:rsid w:val="5DFF23CC"/>
    <w:rsid w:val="5F3F1762"/>
    <w:rsid w:val="5FCFA969"/>
    <w:rsid w:val="63DEC371"/>
    <w:rsid w:val="63FFEAC9"/>
    <w:rsid w:val="687F6D99"/>
    <w:rsid w:val="6BF67E78"/>
    <w:rsid w:val="6DEEE50F"/>
    <w:rsid w:val="6E6BCA50"/>
    <w:rsid w:val="6E7E2A2A"/>
    <w:rsid w:val="6FEECB67"/>
    <w:rsid w:val="732B9CF0"/>
    <w:rsid w:val="73ED3B55"/>
    <w:rsid w:val="747FEA74"/>
    <w:rsid w:val="75DC7579"/>
    <w:rsid w:val="75EF5B17"/>
    <w:rsid w:val="75FF4964"/>
    <w:rsid w:val="76ABEF08"/>
    <w:rsid w:val="76D504A5"/>
    <w:rsid w:val="76FB9B56"/>
    <w:rsid w:val="76FF0FAD"/>
    <w:rsid w:val="7766C0B6"/>
    <w:rsid w:val="77FD9E9D"/>
    <w:rsid w:val="7A796588"/>
    <w:rsid w:val="7AF22C0A"/>
    <w:rsid w:val="7B959BEB"/>
    <w:rsid w:val="7BB7E607"/>
    <w:rsid w:val="7BDFDCF1"/>
    <w:rsid w:val="7BFB56B8"/>
    <w:rsid w:val="7CF7D3D4"/>
    <w:rsid w:val="7D6C3DD8"/>
    <w:rsid w:val="7DFD4DD2"/>
    <w:rsid w:val="7EC78650"/>
    <w:rsid w:val="7EF7EE97"/>
    <w:rsid w:val="7F5C3A75"/>
    <w:rsid w:val="7F5F116A"/>
    <w:rsid w:val="7F7B57D9"/>
    <w:rsid w:val="7F7EC763"/>
    <w:rsid w:val="7F7F7776"/>
    <w:rsid w:val="7FBBC3CB"/>
    <w:rsid w:val="7FBC69C8"/>
    <w:rsid w:val="7FCDFA14"/>
    <w:rsid w:val="7FDA365A"/>
    <w:rsid w:val="7FE73C05"/>
    <w:rsid w:val="7FEFA49D"/>
    <w:rsid w:val="7F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直接箭头连接符 2"/>
        <o:r id="V:Rule4" type="connector" idref="#直接箭头连接符 1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semiHidden="0" w:unhideWhenUsed="0" w:qFormat="1"/>
    <w:lsdException w:name="header" w:unhideWhenUsed="0" w:qFormat="1"/>
    <w:lsdException w:name="footer" w:unhideWhenUsed="0" w:qFormat="1"/>
    <w:lsdException w:name="caption" w:locked="1" w:qFormat="1"/>
    <w:lsdException w:name="annotation reference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semiHidden="0" w:uiPriority="1" w:qFormat="1"/>
    <w:lsdException w:name="Body Text Inden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Hyperlink" w:semiHidden="0" w:uiPriority="99" w:qFormat="1"/>
    <w:lsdException w:name="Strong" w:locked="1" w:semiHidden="0" w:unhideWhenUsed="0" w:qFormat="1"/>
    <w:lsdException w:name="Emphasis" w:locked="1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semiHidden="0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unhideWhenUsed="0" w:qFormat="1"/>
    <w:lsdException w:name="Table Grid" w:locked="1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9F044E"/>
    <w:rPr>
      <w:rFonts w:ascii="SimSun" w:eastAsia="SimSun" w:hAnsi="SimSun" w:cs="SimSun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annotation subject"/>
    <w:basedOn w:val="ad"/>
    <w:next w:val="ad"/>
    <w:link w:val="Char"/>
    <w:qFormat/>
    <w:rsid w:val="009F044E"/>
    <w:rPr>
      <w:b/>
      <w:bCs/>
    </w:rPr>
  </w:style>
  <w:style w:type="paragraph" w:styleId="ad">
    <w:name w:val="annotation text"/>
    <w:basedOn w:val="a8"/>
    <w:link w:val="Char0"/>
    <w:qFormat/>
    <w:rsid w:val="009F044E"/>
  </w:style>
  <w:style w:type="paragraph" w:styleId="ae">
    <w:name w:val="Body Text Indent"/>
    <w:basedOn w:val="a8"/>
    <w:qFormat/>
    <w:rsid w:val="009F044E"/>
    <w:pPr>
      <w:ind w:firstLineChars="171" w:firstLine="359"/>
    </w:pPr>
  </w:style>
  <w:style w:type="paragraph" w:styleId="af">
    <w:name w:val="Plain Text"/>
    <w:basedOn w:val="a8"/>
    <w:link w:val="Char1"/>
    <w:qFormat/>
    <w:rsid w:val="009F044E"/>
    <w:rPr>
      <w:rFonts w:hAnsi="Courier New"/>
      <w:szCs w:val="20"/>
    </w:rPr>
  </w:style>
  <w:style w:type="paragraph" w:styleId="af0">
    <w:name w:val="Balloon Text"/>
    <w:basedOn w:val="a8"/>
    <w:semiHidden/>
    <w:qFormat/>
    <w:rsid w:val="009F044E"/>
    <w:rPr>
      <w:sz w:val="18"/>
      <w:szCs w:val="18"/>
    </w:rPr>
  </w:style>
  <w:style w:type="paragraph" w:styleId="af1">
    <w:name w:val="footer"/>
    <w:basedOn w:val="a8"/>
    <w:link w:val="Char2"/>
    <w:semiHidden/>
    <w:qFormat/>
    <w:rsid w:val="009F04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2">
    <w:name w:val="header"/>
    <w:basedOn w:val="a8"/>
    <w:link w:val="Char3"/>
    <w:semiHidden/>
    <w:qFormat/>
    <w:rsid w:val="009F0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Normal (Web)"/>
    <w:basedOn w:val="a8"/>
    <w:qFormat/>
    <w:rsid w:val="009F044E"/>
    <w:pPr>
      <w:spacing w:before="100" w:beforeAutospacing="1" w:after="100" w:afterAutospacing="1"/>
    </w:pPr>
    <w:rPr>
      <w:rFonts w:cs="Times New Roman"/>
    </w:rPr>
  </w:style>
  <w:style w:type="character" w:styleId="af4">
    <w:name w:val="Hyperlink"/>
    <w:uiPriority w:val="99"/>
    <w:unhideWhenUsed/>
    <w:qFormat/>
    <w:rsid w:val="009F044E"/>
    <w:rPr>
      <w:color w:val="0000FF"/>
      <w:u w:val="single"/>
    </w:rPr>
  </w:style>
  <w:style w:type="character" w:styleId="af5">
    <w:name w:val="annotation reference"/>
    <w:qFormat/>
    <w:rsid w:val="009F044E"/>
    <w:rPr>
      <w:sz w:val="21"/>
      <w:szCs w:val="21"/>
    </w:rPr>
  </w:style>
  <w:style w:type="table" w:styleId="af6">
    <w:name w:val="Table Grid"/>
    <w:basedOn w:val="aa"/>
    <w:qFormat/>
    <w:locked/>
    <w:rsid w:val="009F04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段 Char"/>
    <w:link w:val="af7"/>
    <w:qFormat/>
    <w:locked/>
    <w:rsid w:val="009F044E"/>
    <w:rPr>
      <w:rFonts w:ascii="SimSun" w:hAnsi="Times New Roman"/>
      <w:sz w:val="21"/>
      <w:lang w:val="en-US" w:eastAsia="zh-CN" w:bidi="ar-SA"/>
    </w:rPr>
  </w:style>
  <w:style w:type="paragraph" w:customStyle="1" w:styleId="af7">
    <w:name w:val="段"/>
    <w:link w:val="Char4"/>
    <w:qFormat/>
    <w:rsid w:val="009F044E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SimSun" w:eastAsia="SimSun"/>
      <w:sz w:val="21"/>
    </w:rPr>
  </w:style>
  <w:style w:type="character" w:customStyle="1" w:styleId="Char3">
    <w:name w:val="页眉 Char"/>
    <w:link w:val="af2"/>
    <w:semiHidden/>
    <w:qFormat/>
    <w:locked/>
    <w:rsid w:val="009F044E"/>
    <w:rPr>
      <w:rFonts w:cs="Times New Roman"/>
      <w:sz w:val="18"/>
      <w:szCs w:val="18"/>
    </w:rPr>
  </w:style>
  <w:style w:type="character" w:customStyle="1" w:styleId="hl4">
    <w:name w:val="hl4"/>
    <w:qFormat/>
    <w:rsid w:val="009F044E"/>
    <w:rPr>
      <w:color w:val="C60A00"/>
    </w:rPr>
  </w:style>
  <w:style w:type="character" w:customStyle="1" w:styleId="Char0">
    <w:name w:val="批注文字 Char"/>
    <w:link w:val="ad"/>
    <w:qFormat/>
    <w:rsid w:val="009F044E"/>
    <w:rPr>
      <w:rFonts w:ascii="Times New Roman" w:hAnsi="Times New Roman"/>
      <w:kern w:val="2"/>
      <w:sz w:val="21"/>
      <w:szCs w:val="24"/>
    </w:rPr>
  </w:style>
  <w:style w:type="character" w:customStyle="1" w:styleId="Char">
    <w:name w:val="批注主题 Char"/>
    <w:link w:val="ac"/>
    <w:qFormat/>
    <w:rsid w:val="009F044E"/>
    <w:rPr>
      <w:rFonts w:ascii="Times New Roman" w:hAnsi="Times New Roman"/>
      <w:b/>
      <w:bCs/>
      <w:kern w:val="2"/>
      <w:sz w:val="21"/>
      <w:szCs w:val="24"/>
    </w:rPr>
  </w:style>
  <w:style w:type="character" w:customStyle="1" w:styleId="Char2">
    <w:name w:val="页脚 Char"/>
    <w:link w:val="af1"/>
    <w:semiHidden/>
    <w:qFormat/>
    <w:locked/>
    <w:rsid w:val="009F044E"/>
    <w:rPr>
      <w:rFonts w:cs="Times New Roman"/>
      <w:sz w:val="18"/>
      <w:szCs w:val="18"/>
    </w:rPr>
  </w:style>
  <w:style w:type="character" w:customStyle="1" w:styleId="Char1">
    <w:name w:val="纯文本 Char"/>
    <w:link w:val="af"/>
    <w:qFormat/>
    <w:rsid w:val="009F044E"/>
    <w:rPr>
      <w:rFonts w:ascii="SimSun" w:eastAsia="SimSun" w:hAnsi="Courier New"/>
      <w:kern w:val="2"/>
      <w:sz w:val="21"/>
      <w:lang w:val="en-US" w:eastAsia="zh-CN" w:bidi="ar-SA"/>
    </w:rPr>
  </w:style>
  <w:style w:type="paragraph" w:customStyle="1" w:styleId="1">
    <w:name w:val="列出段落1"/>
    <w:basedOn w:val="a8"/>
    <w:uiPriority w:val="99"/>
    <w:qFormat/>
    <w:rsid w:val="009F044E"/>
    <w:pPr>
      <w:ind w:firstLineChars="200" w:firstLine="420"/>
    </w:pPr>
    <w:rPr>
      <w:rFonts w:ascii="Times New Roman" w:hAnsi="Times New Roman" w:cs="Times New Roman"/>
      <w:szCs w:val="21"/>
    </w:rPr>
  </w:style>
  <w:style w:type="paragraph" w:customStyle="1" w:styleId="af8">
    <w:name w:val="正文表标题"/>
    <w:next w:val="af7"/>
    <w:qFormat/>
    <w:rsid w:val="009F044E"/>
    <w:pPr>
      <w:tabs>
        <w:tab w:val="left" w:pos="720"/>
      </w:tabs>
      <w:spacing w:beforeLines="50" w:afterLines="50"/>
      <w:ind w:left="720" w:hanging="720"/>
      <w:jc w:val="center"/>
    </w:pPr>
    <w:rPr>
      <w:rFonts w:ascii="SimHei" w:eastAsia="SimHei"/>
      <w:sz w:val="21"/>
    </w:rPr>
  </w:style>
  <w:style w:type="paragraph" w:customStyle="1" w:styleId="a4">
    <w:name w:val="五级条标题"/>
    <w:basedOn w:val="a3"/>
    <w:next w:val="af7"/>
    <w:qFormat/>
    <w:rsid w:val="009F044E"/>
    <w:pPr>
      <w:numPr>
        <w:ilvl w:val="5"/>
      </w:numPr>
      <w:outlineLvl w:val="6"/>
    </w:pPr>
  </w:style>
  <w:style w:type="paragraph" w:customStyle="1" w:styleId="a3">
    <w:name w:val="四级条标题"/>
    <w:basedOn w:val="a2"/>
    <w:next w:val="af7"/>
    <w:qFormat/>
    <w:rsid w:val="009F044E"/>
    <w:pPr>
      <w:numPr>
        <w:ilvl w:val="4"/>
      </w:numPr>
      <w:outlineLvl w:val="5"/>
    </w:pPr>
  </w:style>
  <w:style w:type="paragraph" w:customStyle="1" w:styleId="a2">
    <w:name w:val="三级条标题"/>
    <w:basedOn w:val="a1"/>
    <w:next w:val="af7"/>
    <w:qFormat/>
    <w:rsid w:val="009F044E"/>
    <w:pPr>
      <w:numPr>
        <w:ilvl w:val="3"/>
      </w:numPr>
      <w:outlineLvl w:val="4"/>
    </w:pPr>
  </w:style>
  <w:style w:type="paragraph" w:customStyle="1" w:styleId="a1">
    <w:name w:val="二级条标题"/>
    <w:basedOn w:val="a0"/>
    <w:next w:val="af7"/>
    <w:qFormat/>
    <w:rsid w:val="009F044E"/>
    <w:pPr>
      <w:numPr>
        <w:ilvl w:val="2"/>
      </w:numPr>
      <w:spacing w:before="50" w:after="50"/>
      <w:outlineLvl w:val="3"/>
    </w:pPr>
  </w:style>
  <w:style w:type="paragraph" w:customStyle="1" w:styleId="a0">
    <w:name w:val="一级条标题"/>
    <w:next w:val="af7"/>
    <w:qFormat/>
    <w:rsid w:val="009F044E"/>
    <w:pPr>
      <w:numPr>
        <w:ilvl w:val="1"/>
        <w:numId w:val="1"/>
      </w:numPr>
      <w:spacing w:beforeLines="50" w:afterLines="50"/>
      <w:outlineLvl w:val="2"/>
    </w:pPr>
    <w:rPr>
      <w:rFonts w:ascii="SimHei" w:eastAsia="SimHei"/>
      <w:sz w:val="21"/>
      <w:szCs w:val="21"/>
    </w:rPr>
  </w:style>
  <w:style w:type="paragraph" w:customStyle="1" w:styleId="a">
    <w:name w:val="章标题"/>
    <w:next w:val="af7"/>
    <w:qFormat/>
    <w:rsid w:val="009F044E"/>
    <w:pPr>
      <w:numPr>
        <w:numId w:val="1"/>
      </w:numPr>
      <w:spacing w:beforeLines="100" w:afterLines="100"/>
      <w:jc w:val="both"/>
      <w:outlineLvl w:val="1"/>
    </w:pPr>
    <w:rPr>
      <w:rFonts w:ascii="SimHei" w:eastAsia="SimHei"/>
      <w:sz w:val="21"/>
    </w:rPr>
  </w:style>
  <w:style w:type="paragraph" w:customStyle="1" w:styleId="a7">
    <w:name w:val="正文图标题"/>
    <w:next w:val="af7"/>
    <w:qFormat/>
    <w:rsid w:val="009F044E"/>
    <w:pPr>
      <w:numPr>
        <w:numId w:val="2"/>
      </w:numPr>
      <w:spacing w:beforeLines="50" w:afterLines="50"/>
      <w:jc w:val="center"/>
    </w:pPr>
    <w:rPr>
      <w:rFonts w:ascii="SimHei" w:eastAsia="SimHei"/>
      <w:sz w:val="21"/>
    </w:rPr>
  </w:style>
  <w:style w:type="paragraph" w:customStyle="1" w:styleId="a6">
    <w:name w:val="其他发布日期"/>
    <w:basedOn w:val="a8"/>
    <w:qFormat/>
    <w:rsid w:val="009F044E"/>
    <w:pPr>
      <w:framePr w:w="3997" w:h="471" w:hRule="exact" w:vSpace="181" w:wrap="around" w:vAnchor="page" w:hAnchor="page" w:x="1419" w:y="14097" w:anchorLock="1"/>
      <w:numPr>
        <w:numId w:val="3"/>
      </w:numPr>
    </w:pPr>
    <w:rPr>
      <w:rFonts w:eastAsia="SimHei"/>
      <w:sz w:val="28"/>
      <w:szCs w:val="20"/>
    </w:rPr>
  </w:style>
  <w:style w:type="paragraph" w:customStyle="1" w:styleId="af9">
    <w:name w:val="其他标准称谓"/>
    <w:next w:val="a8"/>
    <w:qFormat/>
    <w:rsid w:val="009F044E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SimHei" w:eastAsia="SimHei" w:hAnsi="SimSun"/>
      <w:spacing w:val="-40"/>
      <w:sz w:val="48"/>
      <w:szCs w:val="52"/>
    </w:rPr>
  </w:style>
  <w:style w:type="paragraph" w:customStyle="1" w:styleId="a5">
    <w:name w:val="附录标识"/>
    <w:basedOn w:val="a8"/>
    <w:next w:val="af7"/>
    <w:qFormat/>
    <w:rsid w:val="009F044E"/>
    <w:pPr>
      <w:keepNext/>
      <w:numPr>
        <w:numId w:val="4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SimHei" w:eastAsia="SimHei" w:hAnsi="Times New Roman"/>
      <w:szCs w:val="20"/>
    </w:rPr>
  </w:style>
  <w:style w:type="paragraph" w:customStyle="1" w:styleId="afa">
    <w:name w:val="目次、标准名称标题"/>
    <w:basedOn w:val="a8"/>
    <w:next w:val="af7"/>
    <w:qFormat/>
    <w:rsid w:val="009F044E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SimHei" w:eastAsia="SimHei"/>
      <w:sz w:val="32"/>
      <w:szCs w:val="20"/>
    </w:rPr>
  </w:style>
  <w:style w:type="paragraph" w:customStyle="1" w:styleId="10">
    <w:name w:val="修订1"/>
    <w:uiPriority w:val="99"/>
    <w:semiHidden/>
    <w:qFormat/>
    <w:rsid w:val="009F044E"/>
    <w:rPr>
      <w:rFonts w:eastAsia="SimSun"/>
      <w:kern w:val="2"/>
      <w:sz w:val="21"/>
      <w:szCs w:val="24"/>
    </w:rPr>
  </w:style>
  <w:style w:type="paragraph" w:customStyle="1" w:styleId="afb">
    <w:name w:val="标准书眉_奇数页"/>
    <w:next w:val="a8"/>
    <w:qFormat/>
    <w:rsid w:val="009F044E"/>
    <w:pPr>
      <w:tabs>
        <w:tab w:val="center" w:pos="4154"/>
        <w:tab w:val="right" w:pos="8306"/>
      </w:tabs>
      <w:spacing w:after="220"/>
      <w:jc w:val="right"/>
    </w:pPr>
    <w:rPr>
      <w:rFonts w:ascii="SimHei" w:eastAsia="SimHei"/>
      <w:sz w:val="21"/>
      <w:szCs w:val="21"/>
    </w:rPr>
  </w:style>
  <w:style w:type="paragraph" w:customStyle="1" w:styleId="afc">
    <w:name w:val="标准书脚_奇数页"/>
    <w:qFormat/>
    <w:rsid w:val="009F044E"/>
    <w:pPr>
      <w:spacing w:before="120"/>
      <w:ind w:right="198"/>
      <w:jc w:val="right"/>
    </w:pPr>
    <w:rPr>
      <w:rFonts w:ascii="SimSun" w:eastAsia="SimSun"/>
      <w:sz w:val="18"/>
      <w:szCs w:val="18"/>
    </w:rPr>
  </w:style>
  <w:style w:type="paragraph" w:customStyle="1" w:styleId="ParaCharCharCharChar">
    <w:name w:val="默认段落字体 Para Char Char Char Char"/>
    <w:basedOn w:val="a8"/>
    <w:qFormat/>
    <w:rsid w:val="009F044E"/>
    <w:pPr>
      <w:spacing w:line="360" w:lineRule="auto"/>
      <w:ind w:firstLineChars="200" w:firstLine="200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735</Words>
  <Characters>4195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ˮƷȫ ֳ淶</dc:title>
  <dc:creator>hp</dc:creator>
  <cp:lastModifiedBy>dell</cp:lastModifiedBy>
  <cp:revision>22</cp:revision>
  <dcterms:created xsi:type="dcterms:W3CDTF">2020-11-15T03:19:00Z</dcterms:created>
  <dcterms:modified xsi:type="dcterms:W3CDTF">2021-09-29T02:17:00Z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