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C3A" w:rsidRDefault="008F3C3A">
      <w:pPr>
        <w:pStyle w:val="1"/>
        <w:spacing w:beforeLines="50" w:before="156" w:afterLines="50" w:after="156" w:line="400" w:lineRule="atLeast"/>
        <w:ind w:left="357" w:firstLineChars="0" w:firstLine="0"/>
        <w:contextualSpacing/>
        <w:jc w:val="distribute"/>
        <w:rPr>
          <w:rFonts w:ascii="黑体" w:eastAsia="黑体" w:hAnsi="黑体" w:cs="宋体"/>
          <w:sz w:val="44"/>
          <w:szCs w:val="44"/>
        </w:rPr>
      </w:pPr>
    </w:p>
    <w:p w:rsidR="008F3C3A" w:rsidRDefault="001A3ADD">
      <w:pPr>
        <w:pStyle w:val="1"/>
        <w:spacing w:beforeLines="50" w:before="156" w:afterLines="50" w:after="156" w:line="400" w:lineRule="atLeast"/>
        <w:ind w:left="357" w:firstLineChars="0" w:firstLine="0"/>
        <w:contextualSpacing/>
        <w:jc w:val="distribute"/>
        <w:rPr>
          <w:rFonts w:ascii="黑体" w:eastAsia="黑体" w:hAnsi="黑体" w:cs="宋体"/>
          <w:sz w:val="48"/>
          <w:szCs w:val="48"/>
        </w:rPr>
      </w:pPr>
      <w:r>
        <w:rPr>
          <w:rFonts w:ascii="黑体" w:eastAsia="黑体" w:hAnsi="黑体" w:cs="宋体" w:hint="eastAsia"/>
          <w:sz w:val="48"/>
          <w:szCs w:val="48"/>
        </w:rPr>
        <w:t>绿色食品生产操作规程</w:t>
      </w:r>
    </w:p>
    <w:p w:rsidR="008F3C3A" w:rsidRDefault="001A3ADD">
      <w:pPr>
        <w:pStyle w:val="1"/>
        <w:spacing w:beforeLines="50" w:before="156" w:afterLines="50" w:after="156" w:line="400" w:lineRule="atLeast"/>
        <w:ind w:left="357" w:firstLineChars="0" w:firstLine="0"/>
        <w:contextualSpacing/>
        <w:jc w:val="right"/>
        <w:rPr>
          <w:rFonts w:ascii="黑体" w:eastAsia="黑体" w:hAnsi="黑体" w:cs="宋体"/>
          <w:sz w:val="28"/>
          <w:szCs w:val="28"/>
        </w:rPr>
      </w:pPr>
      <w:r>
        <w:rPr>
          <w:rFonts w:ascii="黑体" w:eastAsia="黑体" w:hAnsi="黑体" w:cs="宋体" w:hint="eastAsia"/>
          <w:sz w:val="28"/>
          <w:szCs w:val="28"/>
        </w:rPr>
        <w:t xml:space="preserve">LB/T </w:t>
      </w:r>
      <w:r w:rsidR="00B950BE">
        <w:rPr>
          <w:rFonts w:ascii="黑体" w:eastAsia="黑体" w:hAnsi="黑体" w:cs="宋体" w:hint="eastAsia"/>
          <w:sz w:val="28"/>
          <w:szCs w:val="28"/>
        </w:rPr>
        <w:t>231</w:t>
      </w:r>
      <w:r>
        <w:rPr>
          <w:rFonts w:ascii="黑体" w:eastAsia="黑体" w:hAnsi="黑体" w:cs="宋体" w:hint="eastAsia"/>
          <w:sz w:val="28"/>
          <w:szCs w:val="28"/>
        </w:rPr>
        <w:t>-20</w:t>
      </w:r>
      <w:r w:rsidR="00B950BE">
        <w:rPr>
          <w:rFonts w:ascii="黑体" w:eastAsia="黑体" w:hAnsi="黑体" w:cs="宋体" w:hint="eastAsia"/>
          <w:sz w:val="28"/>
          <w:szCs w:val="28"/>
        </w:rPr>
        <w:t>22</w:t>
      </w:r>
    </w:p>
    <w:p w:rsidR="008F3C3A" w:rsidRDefault="001A3ADD">
      <w:pPr>
        <w:pStyle w:val="1"/>
        <w:spacing w:beforeLines="50" w:before="156" w:afterLines="50" w:after="156" w:line="400" w:lineRule="atLeast"/>
        <w:ind w:left="357" w:firstLineChars="0" w:firstLine="0"/>
        <w:contextualSpacing/>
        <w:jc w:val="right"/>
        <w:rPr>
          <w:rFonts w:ascii="黑体" w:eastAsia="黑体" w:hAnsi="黑体" w:cs="宋体"/>
          <w:sz w:val="28"/>
          <w:szCs w:val="28"/>
        </w:rPr>
      </w:pPr>
      <w:r>
        <w:rPr>
          <w:rFonts w:ascii="黑体" w:eastAsia="黑体" w:hAnsi="黑体" w:cs="宋体"/>
          <w:noProof/>
          <w:sz w:val="28"/>
          <w:szCs w:val="28"/>
        </w:rPr>
        <mc:AlternateContent>
          <mc:Choice Requires="wps">
            <w:drawing>
              <wp:anchor distT="0" distB="0" distL="114300" distR="114300" simplePos="0" relativeHeight="251659264" behindDoc="0" locked="0" layoutInCell="1" allowOverlap="1" wp14:anchorId="76F1321B" wp14:editId="1E1C3EC8">
                <wp:simplePos x="0" y="0"/>
                <wp:positionH relativeFrom="column">
                  <wp:posOffset>160020</wp:posOffset>
                </wp:positionH>
                <wp:positionV relativeFrom="paragraph">
                  <wp:posOffset>76200</wp:posOffset>
                </wp:positionV>
                <wp:extent cx="5173980" cy="0"/>
                <wp:effectExtent l="7620" t="11430" r="9525" b="762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73980" cy="0"/>
                        </a:xfrm>
                        <a:prstGeom prst="straightConnector1">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shape id="AutoShape 3" o:spid="_x0000_s1026" o:spt="32" type="#_x0000_t32" style="position:absolute;left:0pt;margin-left:12.6pt;margin-top:6pt;height:0pt;width:407.4pt;z-index:251659264;mso-width-relative:page;mso-height-relative:page;" filled="f" stroked="t" coordsize="21600,21600" o:gfxdata="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jhrfQNQAAAAIAQAADwAAAAAAAAABACAAAAAiAAAAZHJzL2Rvd25yZXYueG1sUEsBAhQAFAAA&#10;AAgAh07iQCgk+T66AQAAZAMAAA4AAAAAAAAAAQAgAAAAIwEAAGRycy9lMm9Eb2MueG1sUEsFBgAA&#10;AAAGAAYAWQEAAE8FAAAAAA==&#10;">
                <v:fill on="f" focussize="0,0"/>
                <v:stroke color="#000000" joinstyle="round"/>
                <v:imagedata o:title=""/>
                <o:lock v:ext="edit" aspectratio="f"/>
              </v:shape>
            </w:pict>
          </mc:Fallback>
        </mc:AlternateContent>
      </w:r>
    </w:p>
    <w:p w:rsidR="008F3C3A" w:rsidRDefault="008F3C3A">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8F3C3A" w:rsidRDefault="008F3C3A">
      <w:pPr>
        <w:pStyle w:val="1"/>
        <w:spacing w:beforeLines="50" w:before="156" w:afterLines="50" w:after="156" w:line="400" w:lineRule="atLeast"/>
        <w:ind w:left="357" w:firstLineChars="0" w:firstLine="0"/>
        <w:contextualSpacing/>
        <w:rPr>
          <w:rFonts w:ascii="黑体" w:eastAsia="黑体" w:hAnsi="黑体" w:cs="宋体"/>
          <w:sz w:val="32"/>
          <w:szCs w:val="32"/>
        </w:rPr>
      </w:pPr>
    </w:p>
    <w:p w:rsidR="008F3C3A" w:rsidRDefault="008F3C3A">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8F3C3A" w:rsidRDefault="001A3ADD">
      <w:pPr>
        <w:pStyle w:val="1"/>
        <w:spacing w:beforeLines="50" w:before="156" w:afterLines="50" w:after="156" w:line="360" w:lineRule="auto"/>
        <w:ind w:left="357" w:firstLineChars="0" w:firstLine="0"/>
        <w:contextualSpacing/>
        <w:jc w:val="center"/>
        <w:rPr>
          <w:rFonts w:ascii="黑体" w:eastAsia="黑体" w:hAnsi="黑体" w:cs="宋体"/>
          <w:sz w:val="48"/>
          <w:szCs w:val="48"/>
        </w:rPr>
      </w:pPr>
      <w:r>
        <w:rPr>
          <w:rFonts w:ascii="黑体" w:eastAsia="黑体" w:hAnsi="黑体" w:cs="宋体" w:hint="eastAsia"/>
          <w:sz w:val="48"/>
          <w:szCs w:val="48"/>
        </w:rPr>
        <w:t>长江流域湿作区</w:t>
      </w:r>
    </w:p>
    <w:p w:rsidR="008F3C3A" w:rsidRDefault="008F3C3A">
      <w:pPr>
        <w:pStyle w:val="1"/>
        <w:spacing w:beforeLines="50" w:before="156" w:afterLines="50" w:after="156" w:line="360" w:lineRule="auto"/>
        <w:ind w:left="357" w:firstLineChars="0" w:firstLine="0"/>
        <w:contextualSpacing/>
        <w:jc w:val="center"/>
        <w:rPr>
          <w:rFonts w:ascii="黑体" w:eastAsia="黑体" w:hAnsi="黑体" w:cs="宋体"/>
          <w:sz w:val="18"/>
          <w:szCs w:val="18"/>
        </w:rPr>
      </w:pPr>
    </w:p>
    <w:p w:rsidR="008F3C3A" w:rsidRDefault="001A3ADD">
      <w:pPr>
        <w:pStyle w:val="1"/>
        <w:spacing w:beforeLines="50" w:before="156" w:afterLines="50" w:after="156" w:line="360" w:lineRule="auto"/>
        <w:ind w:left="357" w:firstLineChars="0" w:firstLine="0"/>
        <w:contextualSpacing/>
        <w:jc w:val="center"/>
        <w:rPr>
          <w:rFonts w:ascii="黑体" w:eastAsia="黑体" w:hAnsi="黑体" w:cs="宋体"/>
          <w:sz w:val="48"/>
          <w:szCs w:val="48"/>
        </w:rPr>
      </w:pPr>
      <w:r>
        <w:rPr>
          <w:rFonts w:ascii="黑体" w:eastAsia="黑体" w:hAnsi="黑体" w:hint="eastAsia"/>
          <w:sz w:val="48"/>
          <w:szCs w:val="48"/>
        </w:rPr>
        <w:t>绿色食品</w:t>
      </w:r>
      <w:r>
        <w:rPr>
          <w:rFonts w:ascii="黑体" w:eastAsia="黑体" w:hAnsi="黑体" w:cs="宋体" w:hint="eastAsia"/>
          <w:sz w:val="48"/>
          <w:szCs w:val="48"/>
        </w:rPr>
        <w:t>芦笋</w:t>
      </w:r>
      <w:r>
        <w:rPr>
          <w:rFonts w:ascii="黑体" w:eastAsia="黑体" w:hAnsi="黑体" w:hint="eastAsia"/>
          <w:sz w:val="48"/>
          <w:szCs w:val="48"/>
        </w:rPr>
        <w:t>生产操作规程</w:t>
      </w:r>
    </w:p>
    <w:p w:rsidR="008F3C3A" w:rsidRDefault="008F3C3A">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8F3C3A" w:rsidRDefault="008F3C3A">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8F3C3A" w:rsidRDefault="008F3C3A">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8F3C3A" w:rsidRDefault="008F3C3A">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8F3C3A" w:rsidRDefault="008F3C3A">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B950BE" w:rsidRDefault="00B950B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B950BE" w:rsidRDefault="00B950BE">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8F3C3A" w:rsidRDefault="008F3C3A">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8F3C3A" w:rsidRDefault="008F3C3A">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8F3C3A" w:rsidRDefault="001A3ADD">
      <w:pPr>
        <w:pStyle w:val="1"/>
        <w:spacing w:beforeLines="50" w:before="156" w:afterLines="50" w:after="156" w:line="400" w:lineRule="atLeast"/>
        <w:ind w:left="357" w:firstLineChars="0" w:firstLine="0"/>
        <w:contextualSpacing/>
        <w:jc w:val="left"/>
        <w:rPr>
          <w:rFonts w:ascii="黑体" w:eastAsia="黑体" w:hAnsi="黑体" w:cs="宋体"/>
          <w:sz w:val="28"/>
          <w:szCs w:val="28"/>
        </w:rPr>
      </w:pPr>
      <w:r>
        <w:rPr>
          <w:rFonts w:ascii="黑体" w:eastAsia="黑体" w:hAnsi="黑体" w:cs="宋体" w:hint="eastAsia"/>
          <w:sz w:val="28"/>
          <w:szCs w:val="28"/>
        </w:rPr>
        <w:t>20</w:t>
      </w:r>
      <w:r w:rsidR="001F12E0">
        <w:rPr>
          <w:rFonts w:ascii="黑体" w:eastAsia="黑体" w:hAnsi="黑体" w:cs="宋体" w:hint="eastAsia"/>
          <w:sz w:val="28"/>
          <w:szCs w:val="28"/>
        </w:rPr>
        <w:t>22</w:t>
      </w:r>
      <w:r>
        <w:rPr>
          <w:rFonts w:ascii="黑体" w:eastAsia="黑体" w:hAnsi="黑体" w:cs="宋体" w:hint="eastAsia"/>
          <w:sz w:val="28"/>
          <w:szCs w:val="28"/>
        </w:rPr>
        <w:t>-</w:t>
      </w:r>
      <w:r w:rsidR="001F12E0">
        <w:rPr>
          <w:rFonts w:ascii="黑体" w:eastAsia="黑体" w:hAnsi="黑体" w:cs="宋体" w:hint="eastAsia"/>
          <w:sz w:val="28"/>
          <w:szCs w:val="28"/>
        </w:rPr>
        <w:t>04</w:t>
      </w:r>
      <w:r>
        <w:rPr>
          <w:rFonts w:ascii="黑体" w:eastAsia="黑体" w:hAnsi="黑体" w:cs="宋体" w:hint="eastAsia"/>
          <w:sz w:val="28"/>
          <w:szCs w:val="28"/>
        </w:rPr>
        <w:t>-</w:t>
      </w:r>
      <w:r w:rsidR="001F12E0">
        <w:rPr>
          <w:rFonts w:ascii="黑体" w:eastAsia="黑体" w:hAnsi="黑体" w:cs="宋体" w:hint="eastAsia"/>
          <w:sz w:val="28"/>
          <w:szCs w:val="28"/>
        </w:rPr>
        <w:t>11</w:t>
      </w:r>
      <w:r>
        <w:rPr>
          <w:rFonts w:ascii="黑体" w:eastAsia="黑体" w:hAnsi="黑体" w:cs="宋体" w:hint="eastAsia"/>
          <w:sz w:val="28"/>
          <w:szCs w:val="28"/>
        </w:rPr>
        <w:t xml:space="preserve">发布            </w:t>
      </w:r>
      <w:r w:rsidR="001F12E0">
        <w:rPr>
          <w:rFonts w:ascii="黑体" w:eastAsia="黑体" w:hAnsi="黑体" w:cs="宋体" w:hint="eastAsia"/>
          <w:sz w:val="28"/>
          <w:szCs w:val="28"/>
        </w:rPr>
        <w:t xml:space="preserve">           </w:t>
      </w:r>
      <w:bookmarkStart w:id="0" w:name="_GoBack"/>
      <w:bookmarkEnd w:id="0"/>
      <w:r>
        <w:rPr>
          <w:rFonts w:ascii="黑体" w:eastAsia="黑体" w:hAnsi="黑体" w:cs="宋体" w:hint="eastAsia"/>
          <w:sz w:val="28"/>
          <w:szCs w:val="28"/>
        </w:rPr>
        <w:t xml:space="preserve">  20</w:t>
      </w:r>
      <w:r w:rsidR="001F12E0">
        <w:rPr>
          <w:rFonts w:ascii="黑体" w:eastAsia="黑体" w:hAnsi="黑体" w:cs="宋体" w:hint="eastAsia"/>
          <w:sz w:val="28"/>
          <w:szCs w:val="28"/>
        </w:rPr>
        <w:t>22</w:t>
      </w:r>
      <w:r>
        <w:rPr>
          <w:rFonts w:ascii="黑体" w:eastAsia="黑体" w:hAnsi="黑体" w:cs="宋体" w:hint="eastAsia"/>
          <w:sz w:val="28"/>
          <w:szCs w:val="28"/>
        </w:rPr>
        <w:t>-</w:t>
      </w:r>
      <w:r w:rsidR="001F12E0">
        <w:rPr>
          <w:rFonts w:ascii="黑体" w:eastAsia="黑体" w:hAnsi="黑体" w:cs="宋体" w:hint="eastAsia"/>
          <w:sz w:val="28"/>
          <w:szCs w:val="28"/>
        </w:rPr>
        <w:t>04</w:t>
      </w:r>
      <w:r>
        <w:rPr>
          <w:rFonts w:ascii="黑体" w:eastAsia="黑体" w:hAnsi="黑体" w:cs="宋体" w:hint="eastAsia"/>
          <w:sz w:val="28"/>
          <w:szCs w:val="28"/>
        </w:rPr>
        <w:t>-</w:t>
      </w:r>
      <w:r w:rsidR="001F12E0">
        <w:rPr>
          <w:rFonts w:ascii="黑体" w:eastAsia="黑体" w:hAnsi="黑体" w:cs="宋体" w:hint="eastAsia"/>
          <w:sz w:val="28"/>
          <w:szCs w:val="28"/>
        </w:rPr>
        <w:t>15</w:t>
      </w:r>
      <w:r>
        <w:rPr>
          <w:rFonts w:ascii="黑体" w:eastAsia="黑体" w:hAnsi="黑体" w:cs="宋体" w:hint="eastAsia"/>
          <w:sz w:val="28"/>
          <w:szCs w:val="28"/>
        </w:rPr>
        <w:t>实施</w:t>
      </w:r>
    </w:p>
    <w:p w:rsidR="008F3C3A" w:rsidRDefault="001A3ADD">
      <w:pPr>
        <w:pStyle w:val="1"/>
        <w:spacing w:beforeLines="50" w:before="156" w:afterLines="50" w:after="156" w:line="400" w:lineRule="atLeast"/>
        <w:ind w:left="357" w:firstLineChars="0" w:firstLine="0"/>
        <w:contextualSpacing/>
        <w:jc w:val="left"/>
        <w:rPr>
          <w:rFonts w:ascii="黑体" w:eastAsia="黑体" w:hAnsi="黑体" w:cs="宋体"/>
          <w:sz w:val="24"/>
          <w:szCs w:val="24"/>
        </w:rPr>
      </w:pPr>
      <w:r>
        <w:rPr>
          <w:rFonts w:ascii="黑体" w:eastAsia="黑体" w:hAnsi="黑体" w:cs="宋体"/>
          <w:noProof/>
          <w:sz w:val="24"/>
          <w:szCs w:val="24"/>
        </w:rPr>
        <mc:AlternateContent>
          <mc:Choice Requires="wps">
            <w:drawing>
              <wp:anchor distT="0" distB="0" distL="114300" distR="114300" simplePos="0" relativeHeight="251658240" behindDoc="0" locked="0" layoutInCell="1" allowOverlap="1" wp14:anchorId="3CA133A2" wp14:editId="0F469171">
                <wp:simplePos x="0" y="0"/>
                <wp:positionH relativeFrom="column">
                  <wp:posOffset>205740</wp:posOffset>
                </wp:positionH>
                <wp:positionV relativeFrom="paragraph">
                  <wp:posOffset>114300</wp:posOffset>
                </wp:positionV>
                <wp:extent cx="4853940" cy="15240"/>
                <wp:effectExtent l="5715" t="7620" r="7620" b="571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3940" cy="15240"/>
                        </a:xfrm>
                        <a:prstGeom prst="straightConnector1">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shape id="AutoShape 2" o:spid="_x0000_s1026" o:spt="32" type="#_x0000_t32" style="position:absolute;left:0pt;margin-left:16.2pt;margin-top:9pt;height:1.2pt;width:382.2pt;z-index:251658240;mso-width-relative:page;mso-height-relative:page;" filled="f" stroked="t" coordsize="21600,21600" o:gfxdata="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BGotpHXAAAACAEAAA8AAAAAAAAAAQAgAAAAIgAAAGRycy9kb3ducmV2LnhtbFBL&#10;AQIUABQAAAAIAIdO4kCUnX/RvgEAAGgDAAAOAAAAAAAAAAEAIAAAACYBAABkcnMvZTJvRG9jLnht&#10;bFBLBQYAAAAABgAGAFkBAABWBQAAAAA=&#10;">
                <v:fill on="f" focussize="0,0"/>
                <v:stroke color="#000000" joinstyle="round"/>
                <v:imagedata o:title=""/>
                <o:lock v:ext="edit" aspectratio="f"/>
              </v:shape>
            </w:pict>
          </mc:Fallback>
        </mc:AlternateContent>
      </w:r>
    </w:p>
    <w:p w:rsidR="008F3C3A" w:rsidRPr="00B950BE" w:rsidRDefault="001A3ADD" w:rsidP="00B950BE">
      <w:pPr>
        <w:pStyle w:val="1"/>
        <w:spacing w:beforeLines="50" w:before="156" w:afterLines="50" w:after="156" w:line="400" w:lineRule="atLeast"/>
        <w:ind w:left="357" w:firstLineChars="0" w:firstLine="0"/>
        <w:contextualSpacing/>
        <w:jc w:val="center"/>
        <w:rPr>
          <w:rFonts w:ascii="黑体" w:eastAsia="黑体" w:hAnsi="黑体" w:cs="宋体"/>
          <w:sz w:val="28"/>
          <w:szCs w:val="28"/>
        </w:rPr>
      </w:pPr>
      <w:r>
        <w:rPr>
          <w:rFonts w:ascii="华文中宋" w:eastAsia="华文中宋" w:hAnsi="华文中宋" w:cs="宋体" w:hint="eastAsia"/>
          <w:spacing w:val="71"/>
          <w:kern w:val="0"/>
          <w:sz w:val="32"/>
          <w:szCs w:val="32"/>
          <w:fitText w:val="4480"/>
        </w:rPr>
        <w:t>中国绿色食品发展中</w:t>
      </w:r>
      <w:r>
        <w:rPr>
          <w:rFonts w:ascii="华文中宋" w:eastAsia="华文中宋" w:hAnsi="华文中宋" w:cs="宋体" w:hint="eastAsia"/>
          <w:spacing w:val="1"/>
          <w:kern w:val="0"/>
          <w:sz w:val="32"/>
          <w:szCs w:val="32"/>
          <w:fitText w:val="4480"/>
        </w:rPr>
        <w:t>心</w:t>
      </w:r>
      <w:r>
        <w:rPr>
          <w:rFonts w:ascii="华文中宋" w:eastAsia="华文中宋" w:hAnsi="华文中宋" w:cs="宋体" w:hint="eastAsia"/>
          <w:kern w:val="0"/>
          <w:sz w:val="32"/>
          <w:szCs w:val="32"/>
        </w:rPr>
        <w:t xml:space="preserve">  </w:t>
      </w:r>
      <w:r>
        <w:rPr>
          <w:rFonts w:ascii="黑体" w:eastAsia="黑体" w:hAnsi="黑体" w:cs="宋体" w:hint="eastAsia"/>
          <w:sz w:val="28"/>
          <w:szCs w:val="28"/>
        </w:rPr>
        <w:t>发 布</w:t>
      </w:r>
    </w:p>
    <w:p w:rsidR="008F3C3A" w:rsidRDefault="008F3C3A">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8F3C3A" w:rsidRDefault="001A3ADD">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r>
        <w:rPr>
          <w:rFonts w:ascii="黑体" w:eastAsia="黑体" w:hAnsi="黑体" w:cs="宋体" w:hint="eastAsia"/>
          <w:sz w:val="32"/>
          <w:szCs w:val="32"/>
        </w:rPr>
        <w:t>前  言</w:t>
      </w:r>
    </w:p>
    <w:p w:rsidR="008F3C3A" w:rsidRDefault="008F3C3A">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8F3C3A" w:rsidRDefault="008F3C3A">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p>
    <w:p w:rsidR="008F3C3A" w:rsidRDefault="001A3ADD">
      <w:pPr>
        <w:pStyle w:val="1"/>
        <w:spacing w:beforeLines="50" w:before="156" w:afterLines="50" w:after="156" w:line="400" w:lineRule="atLeast"/>
        <w:contextualSpacing/>
        <w:jc w:val="left"/>
        <w:rPr>
          <w:rFonts w:ascii="宋体" w:hAnsi="宋体" w:cs="宋体"/>
        </w:rPr>
      </w:pPr>
      <w:r>
        <w:rPr>
          <w:rFonts w:ascii="宋体" w:hAnsi="宋体" w:cs="宋体" w:hint="eastAsia"/>
        </w:rPr>
        <w:t>本规程由中国绿色食品发展中心提出并归口。</w:t>
      </w:r>
    </w:p>
    <w:p w:rsidR="008F3C3A" w:rsidRPr="00E0581A" w:rsidRDefault="001A3ADD" w:rsidP="00E0581A">
      <w:pPr>
        <w:pStyle w:val="1"/>
        <w:spacing w:beforeLines="50" w:before="156" w:afterLines="50" w:after="156" w:line="400" w:lineRule="atLeast"/>
        <w:contextualSpacing/>
        <w:jc w:val="left"/>
        <w:rPr>
          <w:rFonts w:ascii="宋体" w:hAnsi="宋体" w:cs="宋体"/>
        </w:rPr>
      </w:pPr>
      <w:r>
        <w:rPr>
          <w:rFonts w:ascii="宋体" w:hAnsi="宋体" w:cs="宋体" w:hint="eastAsia"/>
        </w:rPr>
        <w:t>本规程起草单位：四川省绿色食品发展中心、四川省农业科学院农业质量标准与检测技术研究所、四川省农业科学院经济作物育种栽培研究所、四川省绵阳市</w:t>
      </w:r>
      <w:proofErr w:type="gramStart"/>
      <w:r>
        <w:rPr>
          <w:rFonts w:ascii="宋体" w:hAnsi="宋体" w:cs="宋体" w:hint="eastAsia"/>
        </w:rPr>
        <w:t>涪</w:t>
      </w:r>
      <w:proofErr w:type="gramEnd"/>
      <w:r>
        <w:rPr>
          <w:rFonts w:ascii="宋体" w:hAnsi="宋体" w:cs="宋体" w:hint="eastAsia"/>
        </w:rPr>
        <w:t>城区农业农村局、湖北省农业科学院农业质量标准与检测技术研究所、江西省农业技术推广中心、平湖市农业技术推广中心、湖南省绿色食品发展中心、重庆市农产品质</w:t>
      </w:r>
      <w:proofErr w:type="gramStart"/>
      <w:r>
        <w:rPr>
          <w:rFonts w:ascii="宋体" w:hAnsi="宋体" w:cs="宋体" w:hint="eastAsia"/>
        </w:rPr>
        <w:t>量安全</w:t>
      </w:r>
      <w:proofErr w:type="gramEnd"/>
      <w:r>
        <w:rPr>
          <w:rFonts w:ascii="宋体" w:hAnsi="宋体" w:cs="宋体" w:hint="eastAsia"/>
        </w:rPr>
        <w:t>中心</w:t>
      </w:r>
      <w:r w:rsidR="00E0581A">
        <w:rPr>
          <w:rFonts w:ascii="宋体" w:hAnsi="宋体" w:cs="宋体" w:hint="eastAsia"/>
        </w:rPr>
        <w:t>、</w:t>
      </w:r>
      <w:r w:rsidR="00E0581A" w:rsidRPr="00EE60B3">
        <w:rPr>
          <w:rFonts w:ascii="宋体" w:hAnsi="宋体" w:cs="宋体" w:hint="eastAsia"/>
        </w:rPr>
        <w:t>中国绿色食品发展中心</w:t>
      </w:r>
      <w:r w:rsidR="00EE60B3">
        <w:rPr>
          <w:rFonts w:ascii="宋体" w:hAnsi="宋体" w:cs="宋体" w:hint="eastAsia"/>
        </w:rPr>
        <w:t>、上海市农产品质</w:t>
      </w:r>
      <w:proofErr w:type="gramStart"/>
      <w:r w:rsidR="00EE60B3">
        <w:rPr>
          <w:rFonts w:ascii="宋体" w:hAnsi="宋体" w:cs="宋体" w:hint="eastAsia"/>
        </w:rPr>
        <w:t>量安全</w:t>
      </w:r>
      <w:proofErr w:type="gramEnd"/>
      <w:r w:rsidR="00EE60B3">
        <w:rPr>
          <w:rFonts w:ascii="宋体" w:hAnsi="宋体" w:cs="宋体" w:hint="eastAsia"/>
        </w:rPr>
        <w:t>中心、江苏省绿色食品办公室、浙江省农产品质</w:t>
      </w:r>
      <w:proofErr w:type="gramStart"/>
      <w:r w:rsidR="00EE60B3">
        <w:rPr>
          <w:rFonts w:ascii="宋体" w:hAnsi="宋体" w:cs="宋体" w:hint="eastAsia"/>
        </w:rPr>
        <w:t>量安全</w:t>
      </w:r>
      <w:proofErr w:type="gramEnd"/>
      <w:r w:rsidR="00EE60B3">
        <w:rPr>
          <w:rFonts w:ascii="宋体" w:hAnsi="宋体" w:cs="宋体" w:hint="eastAsia"/>
        </w:rPr>
        <w:t>中心、安徽省农产品质量安全管理站、江西省农业技术推广中心、湖北省绿色食品管理办公室。</w:t>
      </w:r>
    </w:p>
    <w:p w:rsidR="00E0581A" w:rsidRDefault="001A3ADD" w:rsidP="00E0581A">
      <w:pPr>
        <w:pStyle w:val="1"/>
        <w:spacing w:beforeLines="50" w:before="156" w:afterLines="50" w:after="156" w:line="400" w:lineRule="atLeast"/>
        <w:contextualSpacing/>
        <w:jc w:val="left"/>
        <w:rPr>
          <w:rFonts w:ascii="宋体" w:hAnsi="宋体" w:cs="宋体"/>
        </w:rPr>
      </w:pPr>
      <w:r>
        <w:rPr>
          <w:rFonts w:ascii="宋体" w:hAnsi="宋体" w:cs="宋体" w:hint="eastAsia"/>
        </w:rPr>
        <w:t>本规程主要起草人：周熙、黄玲、杨晓凤、闫志农、彭春莲、魏榕、王璐璐、汪湖、周有祥、彭西甜、杜志明、吴平、张海彬、廖家富</w:t>
      </w:r>
      <w:r w:rsidR="00E0581A">
        <w:rPr>
          <w:rFonts w:ascii="宋体" w:hAnsi="宋体" w:cs="宋体" w:hint="eastAsia"/>
        </w:rPr>
        <w:t>、</w:t>
      </w:r>
      <w:r w:rsidR="00E0581A" w:rsidRPr="00EE60B3">
        <w:rPr>
          <w:rFonts w:ascii="宋体" w:hAnsi="宋体" w:cs="宋体" w:hint="eastAsia"/>
        </w:rPr>
        <w:t>马雪</w:t>
      </w:r>
      <w:r w:rsidR="00EE60B3">
        <w:rPr>
          <w:rFonts w:ascii="宋体" w:hAnsi="宋体" w:cs="宋体" w:hint="eastAsia"/>
        </w:rPr>
        <w:t>、张维谊、孙玲玲、范纪亮、高照荣、熊晓晖、杨远通。</w:t>
      </w:r>
    </w:p>
    <w:p w:rsidR="008F3C3A" w:rsidRPr="00E0581A" w:rsidRDefault="008F3C3A" w:rsidP="00E0581A">
      <w:pPr>
        <w:pStyle w:val="1"/>
        <w:spacing w:beforeLines="50" w:before="156" w:afterLines="50" w:after="156" w:line="400" w:lineRule="atLeast"/>
        <w:ind w:firstLine="560"/>
        <w:contextualSpacing/>
        <w:jc w:val="left"/>
        <w:rPr>
          <w:rFonts w:ascii="宋体" w:hAnsi="宋体" w:cs="宋体"/>
          <w:sz w:val="28"/>
          <w:szCs w:val="28"/>
        </w:rPr>
      </w:pPr>
    </w:p>
    <w:p w:rsidR="008F3C3A" w:rsidRDefault="008F3C3A">
      <w:pPr>
        <w:pStyle w:val="1"/>
        <w:spacing w:beforeLines="50" w:before="156" w:afterLines="50" w:after="156" w:line="400" w:lineRule="atLeast"/>
        <w:ind w:left="357" w:firstLineChars="0" w:firstLine="0"/>
        <w:contextualSpacing/>
        <w:rPr>
          <w:rFonts w:asciiTheme="minorEastAsia" w:eastAsiaTheme="minorEastAsia" w:hAnsiTheme="minorEastAsia" w:cs="宋体"/>
          <w:sz w:val="28"/>
          <w:szCs w:val="28"/>
        </w:rPr>
      </w:pPr>
    </w:p>
    <w:p w:rsidR="008F3C3A" w:rsidRDefault="008F3C3A">
      <w:pPr>
        <w:pStyle w:val="1"/>
        <w:spacing w:beforeLines="50" w:before="156" w:afterLines="50" w:after="156" w:line="400" w:lineRule="atLeast"/>
        <w:ind w:firstLine="560"/>
        <w:contextualSpacing/>
        <w:jc w:val="left"/>
        <w:rPr>
          <w:rFonts w:ascii="宋体" w:hAnsi="宋体" w:cs="宋体"/>
          <w:sz w:val="28"/>
          <w:szCs w:val="28"/>
        </w:rPr>
      </w:pPr>
    </w:p>
    <w:p w:rsidR="008F3C3A" w:rsidRDefault="008F3C3A">
      <w:pPr>
        <w:pStyle w:val="1"/>
        <w:spacing w:beforeLines="50" w:before="156" w:afterLines="50" w:after="156" w:line="400" w:lineRule="atLeast"/>
        <w:contextualSpacing/>
        <w:jc w:val="left"/>
        <w:rPr>
          <w:rFonts w:ascii="宋体" w:hAnsi="宋体" w:cs="宋体"/>
        </w:rPr>
      </w:pPr>
    </w:p>
    <w:p w:rsidR="008F3C3A" w:rsidRDefault="008F3C3A">
      <w:pPr>
        <w:pStyle w:val="1"/>
        <w:spacing w:beforeLines="50" w:before="156" w:afterLines="50" w:after="156" w:line="400" w:lineRule="atLeast"/>
        <w:ind w:firstLine="560"/>
        <w:contextualSpacing/>
        <w:jc w:val="left"/>
        <w:rPr>
          <w:rFonts w:ascii="宋体" w:hAnsi="宋体" w:cs="宋体"/>
          <w:sz w:val="28"/>
          <w:szCs w:val="28"/>
        </w:rPr>
      </w:pPr>
    </w:p>
    <w:p w:rsidR="008F3C3A" w:rsidRDefault="008F3C3A">
      <w:pPr>
        <w:pStyle w:val="1"/>
        <w:spacing w:beforeLines="50" w:before="156" w:afterLines="50" w:after="156" w:line="400" w:lineRule="atLeast"/>
        <w:ind w:firstLine="560"/>
        <w:contextualSpacing/>
        <w:jc w:val="left"/>
        <w:rPr>
          <w:rFonts w:ascii="宋体" w:hAnsi="宋体" w:cs="宋体"/>
          <w:sz w:val="28"/>
          <w:szCs w:val="28"/>
        </w:rPr>
      </w:pPr>
    </w:p>
    <w:p w:rsidR="008F3C3A" w:rsidRDefault="008F3C3A">
      <w:pPr>
        <w:pStyle w:val="1"/>
        <w:spacing w:beforeLines="50" w:before="156" w:afterLines="50" w:after="156" w:line="400" w:lineRule="atLeast"/>
        <w:ind w:firstLine="560"/>
        <w:contextualSpacing/>
        <w:jc w:val="left"/>
        <w:rPr>
          <w:rFonts w:ascii="宋体" w:hAnsi="宋体" w:cs="宋体"/>
          <w:sz w:val="28"/>
          <w:szCs w:val="28"/>
        </w:rPr>
      </w:pPr>
    </w:p>
    <w:p w:rsidR="008F3C3A" w:rsidRDefault="008F3C3A">
      <w:pPr>
        <w:pStyle w:val="1"/>
        <w:spacing w:beforeLines="50" w:before="156" w:afterLines="50" w:after="156" w:line="400" w:lineRule="atLeast"/>
        <w:ind w:firstLine="560"/>
        <w:contextualSpacing/>
        <w:jc w:val="left"/>
        <w:rPr>
          <w:rFonts w:ascii="宋体" w:hAnsi="宋体" w:cs="宋体"/>
          <w:sz w:val="28"/>
          <w:szCs w:val="28"/>
        </w:rPr>
      </w:pPr>
    </w:p>
    <w:p w:rsidR="008F3C3A" w:rsidRDefault="008F3C3A">
      <w:pPr>
        <w:pStyle w:val="1"/>
        <w:spacing w:beforeLines="50" w:before="156" w:afterLines="50" w:after="156" w:line="400" w:lineRule="atLeast"/>
        <w:ind w:firstLine="560"/>
        <w:contextualSpacing/>
        <w:jc w:val="left"/>
        <w:rPr>
          <w:rFonts w:ascii="宋体" w:hAnsi="宋体" w:cs="宋体"/>
          <w:sz w:val="28"/>
          <w:szCs w:val="28"/>
        </w:rPr>
      </w:pPr>
    </w:p>
    <w:p w:rsidR="008F3C3A" w:rsidRDefault="008F3C3A">
      <w:pPr>
        <w:pStyle w:val="1"/>
        <w:spacing w:beforeLines="50" w:before="156" w:afterLines="50" w:after="156" w:line="400" w:lineRule="atLeast"/>
        <w:ind w:firstLine="560"/>
        <w:contextualSpacing/>
        <w:jc w:val="left"/>
        <w:rPr>
          <w:rFonts w:ascii="宋体" w:hAnsi="宋体" w:cs="宋体"/>
          <w:sz w:val="28"/>
          <w:szCs w:val="28"/>
        </w:rPr>
      </w:pPr>
    </w:p>
    <w:p w:rsidR="008F3C3A" w:rsidRDefault="008F3C3A">
      <w:pPr>
        <w:pStyle w:val="1"/>
        <w:spacing w:beforeLines="50" w:before="156" w:afterLines="50" w:after="156" w:line="400" w:lineRule="atLeast"/>
        <w:ind w:firstLine="560"/>
        <w:contextualSpacing/>
        <w:jc w:val="left"/>
        <w:rPr>
          <w:rFonts w:ascii="宋体" w:hAnsi="宋体" w:cs="宋体"/>
          <w:sz w:val="28"/>
          <w:szCs w:val="28"/>
        </w:rPr>
      </w:pPr>
    </w:p>
    <w:p w:rsidR="008F3C3A" w:rsidRDefault="008F3C3A" w:rsidP="00B950BE">
      <w:pPr>
        <w:pStyle w:val="1"/>
        <w:spacing w:beforeLines="50" w:before="156" w:afterLines="50" w:after="156" w:line="400" w:lineRule="atLeast"/>
        <w:ind w:firstLineChars="0" w:firstLine="0"/>
        <w:contextualSpacing/>
        <w:jc w:val="left"/>
        <w:rPr>
          <w:rFonts w:ascii="宋体" w:hAnsi="宋体" w:cs="宋体"/>
          <w:sz w:val="28"/>
          <w:szCs w:val="28"/>
        </w:rPr>
      </w:pPr>
    </w:p>
    <w:p w:rsidR="008F3C3A" w:rsidRDefault="001A3ADD">
      <w:pPr>
        <w:pStyle w:val="1"/>
        <w:spacing w:beforeLines="50" w:before="156" w:afterLines="50" w:after="156" w:line="400" w:lineRule="atLeast"/>
        <w:ind w:left="357" w:firstLineChars="0" w:firstLine="0"/>
        <w:contextualSpacing/>
        <w:jc w:val="center"/>
        <w:rPr>
          <w:rFonts w:ascii="黑体" w:eastAsia="黑体" w:hAnsi="黑体" w:cs="宋体"/>
          <w:sz w:val="32"/>
          <w:szCs w:val="32"/>
        </w:rPr>
      </w:pPr>
      <w:bookmarkStart w:id="1" w:name="_Hlk84590271"/>
      <w:r>
        <w:rPr>
          <w:rFonts w:ascii="黑体" w:eastAsia="黑体" w:hAnsi="黑体" w:cs="宋体" w:hint="eastAsia"/>
          <w:sz w:val="32"/>
          <w:szCs w:val="32"/>
        </w:rPr>
        <w:lastRenderedPageBreak/>
        <w:t>长江流域湿作区</w:t>
      </w:r>
    </w:p>
    <w:bookmarkEnd w:id="1"/>
    <w:p w:rsidR="008F3C3A" w:rsidRDefault="001A3ADD">
      <w:pPr>
        <w:pStyle w:val="1"/>
        <w:spacing w:beforeLines="50" w:before="156" w:afterLines="50" w:after="156" w:line="400" w:lineRule="atLeast"/>
        <w:ind w:left="357" w:firstLineChars="0" w:firstLine="0"/>
        <w:contextualSpacing/>
        <w:jc w:val="center"/>
        <w:rPr>
          <w:rFonts w:ascii="黑体" w:eastAsia="黑体" w:hAnsi="黑体"/>
          <w:sz w:val="32"/>
          <w:szCs w:val="32"/>
        </w:rPr>
      </w:pPr>
      <w:r>
        <w:rPr>
          <w:rFonts w:ascii="黑体" w:eastAsia="黑体" w:hAnsi="黑体" w:hint="eastAsia"/>
          <w:sz w:val="32"/>
          <w:szCs w:val="32"/>
        </w:rPr>
        <w:t>绿色食品</w:t>
      </w:r>
      <w:r>
        <w:rPr>
          <w:rFonts w:ascii="黑体" w:eastAsia="黑体" w:hAnsi="黑体" w:cs="宋体" w:hint="eastAsia"/>
          <w:sz w:val="32"/>
          <w:szCs w:val="32"/>
        </w:rPr>
        <w:t>芦笋</w:t>
      </w:r>
      <w:r>
        <w:rPr>
          <w:rFonts w:ascii="黑体" w:eastAsia="黑体" w:hAnsi="黑体" w:hint="eastAsia"/>
          <w:sz w:val="32"/>
          <w:szCs w:val="32"/>
        </w:rPr>
        <w:t>生产操作规程</w:t>
      </w:r>
    </w:p>
    <w:p w:rsidR="008F3C3A" w:rsidRDefault="001A3ADD">
      <w:pPr>
        <w:pStyle w:val="af1"/>
        <w:numPr>
          <w:ilvl w:val="0"/>
          <w:numId w:val="2"/>
        </w:numPr>
      </w:pPr>
      <w:bookmarkStart w:id="2" w:name="_Toc29035"/>
      <w:bookmarkStart w:id="3" w:name="_Toc3727"/>
      <w:r>
        <w:rPr>
          <w:rFonts w:hint="eastAsia"/>
        </w:rPr>
        <w:t>范围</w:t>
      </w:r>
      <w:bookmarkEnd w:id="2"/>
      <w:bookmarkEnd w:id="3"/>
    </w:p>
    <w:p w:rsidR="008F3C3A" w:rsidRDefault="001A3ADD">
      <w:pPr>
        <w:pStyle w:val="1"/>
        <w:contextualSpacing/>
        <w:rPr>
          <w:rFonts w:ascii="宋体" w:hAnsi="宋体" w:cs="宋体"/>
        </w:rPr>
      </w:pPr>
      <w:r>
        <w:rPr>
          <w:rFonts w:ascii="宋体" w:hAnsi="宋体" w:cs="宋体" w:hint="eastAsia"/>
        </w:rPr>
        <w:t>本规程规定了长江流域湿作区绿色食品芦笋的产地环境、生产技术、田间管理、采收、病虫害防治、生产废弃物的处理、包装运输储藏及生产档案管理。</w:t>
      </w:r>
    </w:p>
    <w:p w:rsidR="008F3C3A" w:rsidRDefault="001A3ADD">
      <w:pPr>
        <w:pStyle w:val="1"/>
        <w:contextualSpacing/>
        <w:rPr>
          <w:rFonts w:ascii="宋体" w:hAnsi="宋体" w:cs="宋体"/>
        </w:rPr>
      </w:pPr>
      <w:r>
        <w:rPr>
          <w:rFonts w:ascii="宋体" w:hAnsi="宋体" w:cs="宋体" w:hint="eastAsia"/>
        </w:rPr>
        <w:t>本规程适用于上海、江苏南部、浙江、安徽、江西、湖北、湖南、四川、重庆的绿色食品芦笋的生产。</w:t>
      </w:r>
    </w:p>
    <w:p w:rsidR="008F3C3A" w:rsidRDefault="001A3ADD">
      <w:pPr>
        <w:pStyle w:val="af1"/>
        <w:numPr>
          <w:ilvl w:val="0"/>
          <w:numId w:val="2"/>
        </w:numPr>
      </w:pPr>
      <w:r>
        <w:rPr>
          <w:rFonts w:hint="eastAsia"/>
        </w:rPr>
        <w:t>规范性引用文件</w:t>
      </w:r>
    </w:p>
    <w:p w:rsidR="008F3C3A" w:rsidRDefault="001A3ADD">
      <w:pPr>
        <w:pStyle w:val="1"/>
        <w:contextualSpacing/>
        <w:rPr>
          <w:rFonts w:ascii="宋体" w:hAnsi="宋体" w:cs="宋体"/>
        </w:rPr>
      </w:pPr>
      <w:r>
        <w:rPr>
          <w:rFonts w:ascii="宋体" w:hAnsi="宋体" w:cs="宋体" w:hint="eastAsia"/>
        </w:rPr>
        <w:t>下列文件对于本文件的应用是必不可少的。凡是注日期的引用文件，仅注日期的版本适用于本文件。凡是不注日期的引用文件，其最新版本（包括所有的修改单）适用于本文件。</w:t>
      </w:r>
    </w:p>
    <w:p w:rsidR="008F3C3A" w:rsidRDefault="001A3ADD">
      <w:pPr>
        <w:pStyle w:val="1"/>
        <w:contextualSpacing/>
        <w:rPr>
          <w:rFonts w:ascii="宋体" w:hAnsi="宋体" w:cs="宋体"/>
        </w:rPr>
      </w:pPr>
      <w:r>
        <w:rPr>
          <w:rFonts w:ascii="宋体" w:hAnsi="宋体" w:cs="宋体"/>
        </w:rPr>
        <w:t xml:space="preserve">NY/T 391  </w:t>
      </w:r>
      <w:r>
        <w:rPr>
          <w:rFonts w:ascii="宋体" w:hAnsi="宋体" w:cs="宋体" w:hint="eastAsia"/>
        </w:rPr>
        <w:t>绿色食品</w:t>
      </w:r>
      <w:r>
        <w:rPr>
          <w:rFonts w:ascii="宋体" w:hAnsi="宋体" w:cs="宋体"/>
        </w:rPr>
        <w:t xml:space="preserve"> </w:t>
      </w:r>
      <w:r>
        <w:rPr>
          <w:rFonts w:ascii="宋体" w:hAnsi="宋体" w:cs="宋体" w:hint="eastAsia"/>
        </w:rPr>
        <w:t>产地环境质量</w:t>
      </w:r>
    </w:p>
    <w:p w:rsidR="008F3C3A" w:rsidRDefault="001A3ADD">
      <w:pPr>
        <w:pStyle w:val="1"/>
        <w:contextualSpacing/>
        <w:rPr>
          <w:rFonts w:ascii="宋体" w:hAnsi="宋体" w:cs="宋体"/>
        </w:rPr>
      </w:pPr>
      <w:r>
        <w:rPr>
          <w:rFonts w:ascii="宋体" w:hAnsi="宋体" w:cs="宋体"/>
        </w:rPr>
        <w:t xml:space="preserve">NY/T 393  </w:t>
      </w:r>
      <w:r>
        <w:rPr>
          <w:rFonts w:ascii="宋体" w:hAnsi="宋体" w:cs="宋体" w:hint="eastAsia"/>
        </w:rPr>
        <w:t>绿色食品</w:t>
      </w:r>
      <w:r>
        <w:rPr>
          <w:rFonts w:ascii="宋体" w:hAnsi="宋体" w:cs="宋体"/>
        </w:rPr>
        <w:t xml:space="preserve"> </w:t>
      </w:r>
      <w:r>
        <w:rPr>
          <w:rFonts w:ascii="宋体" w:hAnsi="宋体" w:cs="宋体" w:hint="eastAsia"/>
        </w:rPr>
        <w:t>农药使用准则</w:t>
      </w:r>
    </w:p>
    <w:p w:rsidR="008F3C3A" w:rsidRDefault="001A3ADD">
      <w:pPr>
        <w:pStyle w:val="1"/>
        <w:contextualSpacing/>
        <w:rPr>
          <w:rFonts w:ascii="宋体" w:hAnsi="宋体" w:cs="宋体"/>
        </w:rPr>
      </w:pPr>
      <w:r>
        <w:rPr>
          <w:rFonts w:ascii="宋体" w:hAnsi="宋体" w:cs="宋体"/>
        </w:rPr>
        <w:t xml:space="preserve">NY/T 394  </w:t>
      </w:r>
      <w:r>
        <w:rPr>
          <w:rFonts w:ascii="宋体" w:hAnsi="宋体" w:cs="宋体" w:hint="eastAsia"/>
        </w:rPr>
        <w:t>绿色食品</w:t>
      </w:r>
      <w:r>
        <w:rPr>
          <w:rFonts w:ascii="宋体" w:hAnsi="宋体" w:cs="宋体"/>
        </w:rPr>
        <w:t xml:space="preserve"> </w:t>
      </w:r>
      <w:r>
        <w:rPr>
          <w:rFonts w:ascii="宋体" w:hAnsi="宋体" w:cs="宋体" w:hint="eastAsia"/>
        </w:rPr>
        <w:t>肥料使用准则</w:t>
      </w:r>
    </w:p>
    <w:p w:rsidR="008F3C3A" w:rsidRDefault="001A3ADD">
      <w:pPr>
        <w:pStyle w:val="ae"/>
        <w:rPr>
          <w:szCs w:val="22"/>
        </w:rPr>
      </w:pPr>
      <w:r>
        <w:rPr>
          <w:rFonts w:hint="eastAsia"/>
          <w:szCs w:val="22"/>
        </w:rPr>
        <w:t>NY/T 658  绿色食品 包装通用准则</w:t>
      </w:r>
    </w:p>
    <w:p w:rsidR="008F3C3A" w:rsidRDefault="001A3ADD">
      <w:pPr>
        <w:pStyle w:val="ae"/>
        <w:rPr>
          <w:szCs w:val="22"/>
        </w:rPr>
      </w:pPr>
      <w:r>
        <w:rPr>
          <w:rFonts w:hint="eastAsia"/>
          <w:szCs w:val="22"/>
        </w:rPr>
        <w:t>NY/T 1056 绿色食品 储藏运输准则</w:t>
      </w:r>
    </w:p>
    <w:p w:rsidR="008F3C3A" w:rsidRDefault="001A3ADD">
      <w:pPr>
        <w:pStyle w:val="ae"/>
        <w:rPr>
          <w:szCs w:val="22"/>
        </w:rPr>
      </w:pPr>
      <w:r>
        <w:rPr>
          <w:rFonts w:hint="eastAsia"/>
          <w:szCs w:val="22"/>
        </w:rPr>
        <w:t>NY/T 2118  蔬菜育苗基质</w:t>
      </w:r>
    </w:p>
    <w:p w:rsidR="008F3C3A" w:rsidRDefault="001A3ADD">
      <w:pPr>
        <w:pStyle w:val="af1"/>
        <w:numPr>
          <w:ilvl w:val="0"/>
          <w:numId w:val="2"/>
        </w:numPr>
      </w:pPr>
      <w:r>
        <w:rPr>
          <w:rFonts w:hint="eastAsia"/>
        </w:rPr>
        <w:t>产地环境</w:t>
      </w:r>
    </w:p>
    <w:p w:rsidR="008F3C3A" w:rsidRDefault="001A3ADD">
      <w:pPr>
        <w:pStyle w:val="ae"/>
        <w:rPr>
          <w:szCs w:val="22"/>
        </w:rPr>
      </w:pPr>
      <w:r>
        <w:rPr>
          <w:rFonts w:hint="eastAsia"/>
          <w:szCs w:val="22"/>
        </w:rPr>
        <w:t>产地环境应符合NY/T</w:t>
      </w:r>
      <w:r>
        <w:rPr>
          <w:rFonts w:hAnsi="宋体" w:cs="宋体"/>
        </w:rPr>
        <w:t xml:space="preserve"> </w:t>
      </w:r>
      <w:r>
        <w:rPr>
          <w:rFonts w:hint="eastAsia"/>
          <w:szCs w:val="22"/>
        </w:rPr>
        <w:t>391的规定，宜</w:t>
      </w:r>
      <w:r>
        <w:rPr>
          <w:rFonts w:ascii="Times New Roman"/>
          <w:szCs w:val="22"/>
        </w:rPr>
        <w:t>选择地势平坦、背风向阳、地下水位较低、排灌方便、土层深厚肥沃、土质疏松的壤土或沙壤土，</w:t>
      </w:r>
      <w:r>
        <w:rPr>
          <w:rFonts w:ascii="Times New Roman"/>
          <w:szCs w:val="22"/>
        </w:rPr>
        <w:t>pH</w:t>
      </w:r>
      <w:r>
        <w:rPr>
          <w:rFonts w:ascii="Times New Roman"/>
          <w:szCs w:val="22"/>
        </w:rPr>
        <w:t>值</w:t>
      </w:r>
      <w:r>
        <w:rPr>
          <w:rFonts w:ascii="Times New Roman"/>
          <w:szCs w:val="22"/>
        </w:rPr>
        <w:t>6.0</w:t>
      </w:r>
      <w:r>
        <w:rPr>
          <w:rFonts w:ascii="Times New Roman" w:hint="eastAsia"/>
          <w:szCs w:val="22"/>
        </w:rPr>
        <w:t>～</w:t>
      </w:r>
      <w:r>
        <w:rPr>
          <w:rFonts w:ascii="Times New Roman"/>
          <w:szCs w:val="22"/>
        </w:rPr>
        <w:t>7.5</w:t>
      </w:r>
      <w:r>
        <w:rPr>
          <w:rFonts w:hint="eastAsia"/>
          <w:szCs w:val="22"/>
        </w:rPr>
        <w:t>。</w:t>
      </w:r>
    </w:p>
    <w:p w:rsidR="008F3C3A" w:rsidRDefault="001A3ADD">
      <w:pPr>
        <w:pStyle w:val="af1"/>
        <w:numPr>
          <w:ilvl w:val="0"/>
          <w:numId w:val="2"/>
        </w:numPr>
      </w:pPr>
      <w:r>
        <w:rPr>
          <w:rFonts w:hint="eastAsia"/>
        </w:rPr>
        <w:t>品种选择</w:t>
      </w:r>
    </w:p>
    <w:p w:rsidR="008F3C3A" w:rsidRDefault="001A3ADD">
      <w:pPr>
        <w:pStyle w:val="af"/>
        <w:widowControl w:val="0"/>
        <w:numPr>
          <w:ilvl w:val="1"/>
          <w:numId w:val="2"/>
        </w:numPr>
      </w:pPr>
      <w:r>
        <w:rPr>
          <w:rFonts w:hint="eastAsia"/>
        </w:rPr>
        <w:t>选择原则</w:t>
      </w:r>
    </w:p>
    <w:p w:rsidR="008F3C3A" w:rsidRDefault="001A3ADD">
      <w:pPr>
        <w:pStyle w:val="1"/>
        <w:tabs>
          <w:tab w:val="left" w:pos="142"/>
        </w:tabs>
        <w:spacing w:line="400" w:lineRule="atLeast"/>
        <w:contextualSpacing/>
        <w:rPr>
          <w:rFonts w:ascii="宋体" w:cs="宋体"/>
        </w:rPr>
      </w:pPr>
      <w:r>
        <w:rPr>
          <w:rFonts w:hint="eastAsia"/>
          <w:szCs w:val="22"/>
        </w:rPr>
        <w:t>选择</w:t>
      </w:r>
      <w:r>
        <w:rPr>
          <w:szCs w:val="22"/>
        </w:rPr>
        <w:t>高产、优质、</w:t>
      </w:r>
      <w:r>
        <w:rPr>
          <w:rFonts w:asciiTheme="minorEastAsia" w:eastAsiaTheme="minorEastAsia" w:hAnsiTheme="minorEastAsia"/>
          <w:szCs w:val="22"/>
        </w:rPr>
        <w:t>抗</w:t>
      </w:r>
      <w:r>
        <w:rPr>
          <w:rFonts w:asciiTheme="minorEastAsia" w:eastAsiaTheme="minorEastAsia" w:hAnsiTheme="minorEastAsia" w:hint="eastAsia"/>
          <w:szCs w:val="22"/>
        </w:rPr>
        <w:t>（耐）</w:t>
      </w:r>
      <w:r>
        <w:rPr>
          <w:rFonts w:asciiTheme="minorEastAsia" w:eastAsiaTheme="minorEastAsia" w:hAnsiTheme="minorEastAsia"/>
          <w:szCs w:val="22"/>
        </w:rPr>
        <w:t>病能力强</w:t>
      </w:r>
      <w:r>
        <w:rPr>
          <w:rFonts w:asciiTheme="minorEastAsia" w:eastAsiaTheme="minorEastAsia" w:hAnsiTheme="minorEastAsia" w:hint="eastAsia"/>
          <w:szCs w:val="22"/>
        </w:rPr>
        <w:t>、</w:t>
      </w:r>
      <w:r>
        <w:rPr>
          <w:rFonts w:asciiTheme="minorEastAsia" w:eastAsiaTheme="minorEastAsia" w:hAnsiTheme="minorEastAsia"/>
          <w:szCs w:val="22"/>
        </w:rPr>
        <w:t>适应性广</w:t>
      </w:r>
      <w:r>
        <w:rPr>
          <w:rFonts w:asciiTheme="minorEastAsia" w:eastAsiaTheme="minorEastAsia" w:hAnsiTheme="minorEastAsia" w:hint="eastAsia"/>
          <w:szCs w:val="22"/>
        </w:rPr>
        <w:t>、</w:t>
      </w:r>
      <w:r>
        <w:rPr>
          <w:rFonts w:asciiTheme="minorEastAsia" w:eastAsiaTheme="minorEastAsia" w:hAnsiTheme="minorEastAsia"/>
          <w:szCs w:val="22"/>
        </w:rPr>
        <w:t>商品性好的杂交</w:t>
      </w:r>
      <w:r>
        <w:rPr>
          <w:rFonts w:asciiTheme="minorEastAsia" w:eastAsiaTheme="minorEastAsia" w:hAnsiTheme="minorEastAsia" w:hint="eastAsia"/>
          <w:szCs w:val="22"/>
        </w:rPr>
        <w:t>一代</w:t>
      </w:r>
      <w:r>
        <w:rPr>
          <w:rFonts w:asciiTheme="minorEastAsia" w:eastAsiaTheme="minorEastAsia" w:hAnsiTheme="minorEastAsia"/>
          <w:szCs w:val="22"/>
        </w:rPr>
        <w:t>种</w:t>
      </w:r>
      <w:r>
        <w:rPr>
          <w:rFonts w:ascii="宋体" w:hAnsi="宋体" w:cs="宋体" w:hint="eastAsia"/>
        </w:rPr>
        <w:t>。</w:t>
      </w:r>
    </w:p>
    <w:p w:rsidR="008F3C3A" w:rsidRDefault="001A3ADD">
      <w:pPr>
        <w:pStyle w:val="af"/>
        <w:widowControl w:val="0"/>
        <w:numPr>
          <w:ilvl w:val="1"/>
          <w:numId w:val="2"/>
        </w:numPr>
      </w:pPr>
      <w:r>
        <w:rPr>
          <w:rFonts w:hint="eastAsia"/>
        </w:rPr>
        <w:t>品种选用</w:t>
      </w:r>
    </w:p>
    <w:p w:rsidR="008F3C3A" w:rsidRDefault="001A3ADD">
      <w:pPr>
        <w:pStyle w:val="1"/>
        <w:spacing w:line="400" w:lineRule="atLeast"/>
        <w:contextualSpacing/>
        <w:rPr>
          <w:rFonts w:asciiTheme="minorEastAsia" w:eastAsiaTheme="minorEastAsia" w:hAnsiTheme="minorEastAsia"/>
        </w:rPr>
      </w:pPr>
      <w:r>
        <w:rPr>
          <w:rFonts w:ascii="宋体" w:hAnsi="宋体" w:cs="宋体" w:hint="eastAsia"/>
        </w:rPr>
        <w:t>推荐选用</w:t>
      </w:r>
      <w:r>
        <w:rPr>
          <w:rFonts w:asciiTheme="minorEastAsia" w:eastAsiaTheme="minorEastAsia" w:hAnsiTheme="minorEastAsia" w:hint="eastAsia"/>
        </w:rPr>
        <w:t>丰岛2号、井冈111、鲁芦笋7号、绿浓芦笋、格兰德、阿波罗、新泽西巨人、井冈红、井冈701、</w:t>
      </w:r>
      <w:proofErr w:type="gramStart"/>
      <w:r>
        <w:rPr>
          <w:rFonts w:asciiTheme="minorEastAsia" w:eastAsiaTheme="minorEastAsia" w:hAnsiTheme="minorEastAsia" w:hint="eastAsia"/>
        </w:rPr>
        <w:t>特</w:t>
      </w:r>
      <w:proofErr w:type="gramEnd"/>
      <w:r>
        <w:rPr>
          <w:rFonts w:asciiTheme="minorEastAsia" w:eastAsiaTheme="minorEastAsia" w:hAnsiTheme="minorEastAsia" w:hint="eastAsia"/>
        </w:rPr>
        <w:t>利龙、T4等品种。</w:t>
      </w:r>
    </w:p>
    <w:p w:rsidR="008F3C3A" w:rsidRDefault="001A3ADD">
      <w:pPr>
        <w:pStyle w:val="af"/>
        <w:widowControl w:val="0"/>
        <w:numPr>
          <w:ilvl w:val="1"/>
          <w:numId w:val="2"/>
        </w:numPr>
      </w:pPr>
      <w:r>
        <w:rPr>
          <w:rFonts w:hint="eastAsia"/>
        </w:rPr>
        <w:t>种子处理</w:t>
      </w:r>
    </w:p>
    <w:p w:rsidR="008F3C3A" w:rsidRDefault="001A3ADD">
      <w:pPr>
        <w:pStyle w:val="1"/>
        <w:spacing w:line="400" w:lineRule="atLeast"/>
        <w:contextualSpacing/>
        <w:rPr>
          <w:rFonts w:ascii="宋体" w:cs="宋体"/>
        </w:rPr>
      </w:pPr>
      <w:r>
        <w:rPr>
          <w:rFonts w:hint="eastAsia"/>
          <w:szCs w:val="22"/>
        </w:rPr>
        <w:t>55</w:t>
      </w:r>
      <w:r>
        <w:rPr>
          <w:szCs w:val="22"/>
        </w:rPr>
        <w:t xml:space="preserve"> </w:t>
      </w:r>
      <w:r>
        <w:rPr>
          <w:rFonts w:hint="eastAsia"/>
          <w:szCs w:val="22"/>
        </w:rPr>
        <w:t>℃水中浸种</w:t>
      </w:r>
      <w:r>
        <w:rPr>
          <w:rFonts w:hint="eastAsia"/>
          <w:szCs w:val="22"/>
        </w:rPr>
        <w:t>15 min</w:t>
      </w:r>
      <w:r>
        <w:rPr>
          <w:rFonts w:hint="eastAsia"/>
          <w:szCs w:val="22"/>
        </w:rPr>
        <w:t>后在</w:t>
      </w:r>
      <w:r>
        <w:rPr>
          <w:rFonts w:hint="eastAsia"/>
          <w:szCs w:val="22"/>
        </w:rPr>
        <w:t>26</w:t>
      </w:r>
      <w:r>
        <w:rPr>
          <w:szCs w:val="22"/>
        </w:rPr>
        <w:t xml:space="preserve"> </w:t>
      </w:r>
      <w:r>
        <w:rPr>
          <w:rFonts w:hint="eastAsia"/>
          <w:szCs w:val="22"/>
        </w:rPr>
        <w:t>℃～</w:t>
      </w:r>
      <w:r>
        <w:rPr>
          <w:rFonts w:hint="eastAsia"/>
          <w:szCs w:val="22"/>
        </w:rPr>
        <w:t>28</w:t>
      </w:r>
      <w:r>
        <w:rPr>
          <w:szCs w:val="22"/>
        </w:rPr>
        <w:t xml:space="preserve"> </w:t>
      </w:r>
      <w:r>
        <w:rPr>
          <w:rFonts w:hint="eastAsia"/>
          <w:szCs w:val="22"/>
        </w:rPr>
        <w:t>℃水中浸种</w:t>
      </w:r>
      <w:r>
        <w:rPr>
          <w:rFonts w:hint="eastAsia"/>
          <w:szCs w:val="22"/>
        </w:rPr>
        <w:t>60h</w:t>
      </w:r>
      <w:r>
        <w:rPr>
          <w:rFonts w:hint="eastAsia"/>
          <w:szCs w:val="22"/>
        </w:rPr>
        <w:t>，浸种后用湿布包裹种子，放在</w:t>
      </w:r>
      <w:r>
        <w:rPr>
          <w:rFonts w:hint="eastAsia"/>
          <w:szCs w:val="22"/>
        </w:rPr>
        <w:t>25</w:t>
      </w:r>
      <w:r>
        <w:rPr>
          <w:rFonts w:hint="eastAsia"/>
          <w:szCs w:val="22"/>
        </w:rPr>
        <w:t>℃左右的环境中催芽，每天用清水洗</w:t>
      </w:r>
      <w:r>
        <w:rPr>
          <w:rFonts w:hint="eastAsia"/>
          <w:szCs w:val="22"/>
        </w:rPr>
        <w:t>1</w:t>
      </w:r>
      <w:r>
        <w:rPr>
          <w:rFonts w:hint="eastAsia"/>
          <w:szCs w:val="22"/>
        </w:rPr>
        <w:t>～</w:t>
      </w:r>
      <w:r>
        <w:rPr>
          <w:rFonts w:hint="eastAsia"/>
          <w:szCs w:val="22"/>
        </w:rPr>
        <w:t>2</w:t>
      </w:r>
      <w:r>
        <w:rPr>
          <w:rFonts w:hint="eastAsia"/>
          <w:szCs w:val="22"/>
        </w:rPr>
        <w:t>次。当</w:t>
      </w:r>
      <w:r>
        <w:rPr>
          <w:rFonts w:hint="eastAsia"/>
          <w:szCs w:val="22"/>
        </w:rPr>
        <w:t>10%</w:t>
      </w:r>
      <w:r>
        <w:rPr>
          <w:rFonts w:hint="eastAsia"/>
          <w:szCs w:val="22"/>
        </w:rPr>
        <w:t>～</w:t>
      </w:r>
      <w:r>
        <w:rPr>
          <w:rFonts w:hint="eastAsia"/>
          <w:szCs w:val="22"/>
        </w:rPr>
        <w:t>20%</w:t>
      </w:r>
      <w:r>
        <w:rPr>
          <w:rFonts w:hint="eastAsia"/>
          <w:szCs w:val="22"/>
        </w:rPr>
        <w:t>种子露白后即可播种育苗。</w:t>
      </w:r>
    </w:p>
    <w:p w:rsidR="008F3C3A" w:rsidRDefault="001A3ADD">
      <w:pPr>
        <w:pStyle w:val="af1"/>
        <w:numPr>
          <w:ilvl w:val="0"/>
          <w:numId w:val="2"/>
        </w:numPr>
      </w:pPr>
      <w:r>
        <w:rPr>
          <w:rFonts w:hint="eastAsia"/>
        </w:rPr>
        <w:t>播种、整地、移栽</w:t>
      </w:r>
    </w:p>
    <w:p w:rsidR="008F3C3A" w:rsidRDefault="001A3ADD">
      <w:pPr>
        <w:pStyle w:val="af"/>
        <w:widowControl w:val="0"/>
        <w:numPr>
          <w:ilvl w:val="1"/>
          <w:numId w:val="2"/>
        </w:numPr>
      </w:pPr>
      <w:r>
        <w:rPr>
          <w:rFonts w:hint="eastAsia"/>
        </w:rPr>
        <w:lastRenderedPageBreak/>
        <w:t>播种</w:t>
      </w:r>
    </w:p>
    <w:p w:rsidR="008F3C3A" w:rsidRDefault="001A3ADD">
      <w:pPr>
        <w:pStyle w:val="af"/>
        <w:widowControl w:val="0"/>
        <w:numPr>
          <w:ilvl w:val="2"/>
          <w:numId w:val="2"/>
        </w:numPr>
        <w:ind w:left="0"/>
        <w:outlineLvl w:val="3"/>
      </w:pPr>
      <w:r>
        <w:rPr>
          <w:rFonts w:hint="eastAsia"/>
        </w:rPr>
        <w:t>播种时间</w:t>
      </w:r>
    </w:p>
    <w:p w:rsidR="008F3C3A" w:rsidRDefault="001A3ADD">
      <w:pPr>
        <w:pStyle w:val="ae"/>
        <w:ind w:leftChars="50" w:left="105" w:firstLineChars="150" w:firstLine="315"/>
        <w:rPr>
          <w:rFonts w:ascii="Times New Roman"/>
          <w:szCs w:val="22"/>
        </w:rPr>
      </w:pPr>
      <w:r>
        <w:rPr>
          <w:rFonts w:ascii="Times New Roman" w:hint="eastAsia"/>
          <w:szCs w:val="22"/>
        </w:rPr>
        <w:t>宜于</w:t>
      </w:r>
      <w:r>
        <w:rPr>
          <w:rFonts w:ascii="Times New Roman"/>
          <w:szCs w:val="22"/>
        </w:rPr>
        <w:t>春季播种</w:t>
      </w:r>
      <w:bookmarkStart w:id="4" w:name="_Hlk83734011"/>
      <w:r>
        <w:rPr>
          <w:rFonts w:ascii="Times New Roman" w:hint="eastAsia"/>
          <w:szCs w:val="22"/>
        </w:rPr>
        <w:t>。</w:t>
      </w:r>
    </w:p>
    <w:p w:rsidR="008F3C3A" w:rsidRDefault="001A3ADD">
      <w:pPr>
        <w:pStyle w:val="af"/>
        <w:widowControl w:val="0"/>
        <w:numPr>
          <w:ilvl w:val="2"/>
          <w:numId w:val="2"/>
        </w:numPr>
        <w:ind w:left="0"/>
        <w:outlineLvl w:val="3"/>
      </w:pPr>
      <w:r>
        <w:rPr>
          <w:rFonts w:hint="eastAsia"/>
        </w:rPr>
        <w:t>播种育苗</w:t>
      </w:r>
    </w:p>
    <w:p w:rsidR="008F3C3A" w:rsidRDefault="001A3ADD">
      <w:pPr>
        <w:pStyle w:val="ae"/>
        <w:ind w:leftChars="50" w:left="105" w:firstLineChars="150" w:firstLine="315"/>
        <w:rPr>
          <w:rFonts w:asciiTheme="minorEastAsia" w:eastAsiaTheme="minorEastAsia" w:hAnsiTheme="minorEastAsia"/>
          <w:szCs w:val="22"/>
        </w:rPr>
      </w:pPr>
      <w:r>
        <w:rPr>
          <w:rFonts w:asciiTheme="minorEastAsia" w:eastAsiaTheme="minorEastAsia" w:hAnsiTheme="minorEastAsia" w:hint="eastAsia"/>
          <w:szCs w:val="22"/>
        </w:rPr>
        <w:t>宜</w:t>
      </w:r>
      <w:bookmarkEnd w:id="4"/>
      <w:r>
        <w:rPr>
          <w:rFonts w:asciiTheme="minorEastAsia" w:eastAsiaTheme="minorEastAsia" w:hAnsiTheme="minorEastAsia"/>
          <w:szCs w:val="22"/>
        </w:rPr>
        <w:t>采用</w:t>
      </w:r>
      <w:proofErr w:type="gramStart"/>
      <w:r>
        <w:rPr>
          <w:rFonts w:asciiTheme="minorEastAsia" w:eastAsiaTheme="minorEastAsia" w:hAnsiTheme="minorEastAsia"/>
          <w:szCs w:val="22"/>
        </w:rPr>
        <w:t>穴盘基质</w:t>
      </w:r>
      <w:proofErr w:type="gramEnd"/>
      <w:r>
        <w:rPr>
          <w:rFonts w:asciiTheme="minorEastAsia" w:eastAsiaTheme="minorEastAsia" w:hAnsiTheme="minorEastAsia"/>
          <w:szCs w:val="22"/>
        </w:rPr>
        <w:t>育苗</w:t>
      </w:r>
      <w:r>
        <w:rPr>
          <w:rFonts w:asciiTheme="minorEastAsia" w:eastAsiaTheme="minorEastAsia" w:hAnsiTheme="minorEastAsia" w:hint="eastAsia"/>
          <w:szCs w:val="22"/>
        </w:rPr>
        <w:t>或</w:t>
      </w:r>
      <w:r>
        <w:rPr>
          <w:rFonts w:asciiTheme="minorEastAsia" w:eastAsiaTheme="minorEastAsia" w:hAnsiTheme="minorEastAsia"/>
          <w:szCs w:val="22"/>
        </w:rPr>
        <w:t>营养钵育苗</w:t>
      </w:r>
      <w:r>
        <w:rPr>
          <w:rFonts w:asciiTheme="minorEastAsia" w:eastAsiaTheme="minorEastAsia" w:hAnsiTheme="minorEastAsia" w:hint="eastAsia"/>
          <w:szCs w:val="22"/>
        </w:rPr>
        <w:t>。</w:t>
      </w:r>
      <w:r>
        <w:rPr>
          <w:rFonts w:asciiTheme="minorEastAsia" w:eastAsiaTheme="minorEastAsia" w:hAnsiTheme="minorEastAsia"/>
          <w:szCs w:val="22"/>
        </w:rPr>
        <w:t>播种前将基质浇</w:t>
      </w:r>
      <w:r>
        <w:rPr>
          <w:rFonts w:asciiTheme="minorEastAsia" w:eastAsiaTheme="minorEastAsia" w:hAnsiTheme="minorEastAsia" w:hint="eastAsia"/>
          <w:szCs w:val="22"/>
        </w:rPr>
        <w:t>足</w:t>
      </w:r>
      <w:r>
        <w:rPr>
          <w:rFonts w:asciiTheme="minorEastAsia" w:eastAsiaTheme="minorEastAsia" w:hAnsiTheme="minorEastAsia"/>
          <w:szCs w:val="22"/>
        </w:rPr>
        <w:t xml:space="preserve">底水，单粒点播于中央，覆1 </w:t>
      </w:r>
      <w:r>
        <w:rPr>
          <w:rFonts w:asciiTheme="minorEastAsia" w:eastAsiaTheme="minorEastAsia" w:hAnsiTheme="minorEastAsia" w:hint="eastAsia"/>
          <w:szCs w:val="22"/>
        </w:rPr>
        <w:t>cm～2</w:t>
      </w:r>
      <w:r>
        <w:rPr>
          <w:rFonts w:asciiTheme="minorEastAsia" w:eastAsiaTheme="minorEastAsia" w:hAnsiTheme="minorEastAsia"/>
          <w:szCs w:val="22"/>
        </w:rPr>
        <w:t xml:space="preserve"> cm育苗基质</w:t>
      </w:r>
      <w:r>
        <w:rPr>
          <w:rFonts w:asciiTheme="minorEastAsia" w:eastAsiaTheme="minorEastAsia" w:hAnsiTheme="minorEastAsia" w:hint="eastAsia"/>
          <w:szCs w:val="22"/>
        </w:rPr>
        <w:t>。育苗基质</w:t>
      </w:r>
      <w:r>
        <w:rPr>
          <w:rFonts w:asciiTheme="minorEastAsia" w:eastAsiaTheme="minorEastAsia" w:hAnsiTheme="minorEastAsia"/>
          <w:szCs w:val="22"/>
        </w:rPr>
        <w:t>应符合NY/T 2118的要求。</w:t>
      </w:r>
    </w:p>
    <w:p w:rsidR="008F3C3A" w:rsidRDefault="001A3ADD">
      <w:pPr>
        <w:pStyle w:val="af"/>
        <w:widowControl w:val="0"/>
        <w:numPr>
          <w:ilvl w:val="2"/>
          <w:numId w:val="2"/>
        </w:numPr>
        <w:ind w:left="0"/>
        <w:outlineLvl w:val="3"/>
      </w:pPr>
      <w:r>
        <w:rPr>
          <w:rFonts w:hint="eastAsia"/>
        </w:rPr>
        <w:t>苗期管理</w:t>
      </w:r>
    </w:p>
    <w:p w:rsidR="008F3C3A" w:rsidRDefault="001A3ADD">
      <w:pPr>
        <w:pStyle w:val="ae"/>
        <w:ind w:firstLineChars="0"/>
        <w:rPr>
          <w:rFonts w:asciiTheme="minorEastAsia" w:eastAsiaTheme="minorEastAsia" w:hAnsiTheme="minorEastAsia"/>
          <w:szCs w:val="22"/>
        </w:rPr>
      </w:pPr>
      <w:r>
        <w:rPr>
          <w:rFonts w:asciiTheme="minorEastAsia" w:eastAsiaTheme="minorEastAsia" w:hAnsiTheme="minorEastAsia" w:hint="eastAsia"/>
          <w:szCs w:val="22"/>
        </w:rPr>
        <w:t>宜在大棚、小拱棚等设施内进行育苗。保持基质湿润</w:t>
      </w:r>
      <w:r>
        <w:rPr>
          <w:rFonts w:asciiTheme="minorEastAsia" w:eastAsiaTheme="minorEastAsia" w:hAnsiTheme="minorEastAsia"/>
          <w:szCs w:val="22"/>
        </w:rPr>
        <w:t>，</w:t>
      </w:r>
      <w:proofErr w:type="gramStart"/>
      <w:r>
        <w:rPr>
          <w:rFonts w:asciiTheme="minorEastAsia" w:eastAsiaTheme="minorEastAsia" w:hAnsiTheme="minorEastAsia" w:hint="eastAsia"/>
          <w:szCs w:val="22"/>
        </w:rPr>
        <w:t>昼温以</w:t>
      </w:r>
      <w:proofErr w:type="gramEnd"/>
      <w:r>
        <w:rPr>
          <w:rFonts w:asciiTheme="minorEastAsia" w:eastAsiaTheme="minorEastAsia" w:hAnsiTheme="minorEastAsia" w:hint="eastAsia"/>
          <w:szCs w:val="22"/>
        </w:rPr>
        <w:t>25 ℃～28 ℃为宜，夜温以15 ℃～18 ℃为宜</w:t>
      </w:r>
      <w:r>
        <w:rPr>
          <w:rFonts w:asciiTheme="minorEastAsia" w:eastAsiaTheme="minorEastAsia" w:hAnsiTheme="minorEastAsia"/>
          <w:szCs w:val="22"/>
        </w:rPr>
        <w:t>。</w:t>
      </w:r>
      <w:r>
        <w:rPr>
          <w:rFonts w:asciiTheme="minorEastAsia" w:eastAsiaTheme="minorEastAsia" w:hAnsiTheme="minorEastAsia" w:hint="eastAsia"/>
          <w:szCs w:val="22"/>
        </w:rPr>
        <w:t>株高10</w:t>
      </w:r>
      <w:r>
        <w:rPr>
          <w:rFonts w:asciiTheme="minorEastAsia" w:eastAsiaTheme="minorEastAsia" w:hAnsiTheme="minorEastAsia"/>
          <w:szCs w:val="22"/>
        </w:rPr>
        <w:t xml:space="preserve"> </w:t>
      </w:r>
      <w:r>
        <w:rPr>
          <w:rFonts w:asciiTheme="minorEastAsia" w:eastAsiaTheme="minorEastAsia" w:hAnsiTheme="minorEastAsia" w:hint="eastAsia"/>
          <w:szCs w:val="22"/>
        </w:rPr>
        <w:t>cm时，结合浇水喷施0</w:t>
      </w:r>
      <w:r>
        <w:rPr>
          <w:rFonts w:asciiTheme="minorEastAsia" w:eastAsiaTheme="minorEastAsia" w:hAnsiTheme="minorEastAsia"/>
          <w:szCs w:val="22"/>
        </w:rPr>
        <w:t>.2</w:t>
      </w:r>
      <w:r>
        <w:rPr>
          <w:rFonts w:asciiTheme="minorEastAsia" w:eastAsiaTheme="minorEastAsia" w:hAnsiTheme="minorEastAsia" w:hint="eastAsia"/>
          <w:szCs w:val="22"/>
        </w:rPr>
        <w:t>%的尿素提苗，及时清除杂草。移栽前7 d～10 d通过对育苗棚控温、通风、撤掉覆盖物等进行炼苗。</w:t>
      </w:r>
    </w:p>
    <w:p w:rsidR="008F3C3A" w:rsidRDefault="001A3ADD">
      <w:pPr>
        <w:pStyle w:val="af"/>
        <w:widowControl w:val="0"/>
        <w:numPr>
          <w:ilvl w:val="1"/>
          <w:numId w:val="2"/>
        </w:numPr>
      </w:pPr>
      <w:r>
        <w:rPr>
          <w:rFonts w:hint="eastAsia"/>
        </w:rPr>
        <w:t>整地底肥</w:t>
      </w:r>
    </w:p>
    <w:p w:rsidR="008F3C3A" w:rsidRDefault="001A3ADD">
      <w:pPr>
        <w:pStyle w:val="ae"/>
        <w:ind w:firstLineChars="0"/>
        <w:rPr>
          <w:rFonts w:asciiTheme="minorEastAsia" w:eastAsiaTheme="minorEastAsia" w:hAnsiTheme="minorEastAsia"/>
          <w:szCs w:val="22"/>
        </w:rPr>
      </w:pPr>
      <w:r>
        <w:rPr>
          <w:rFonts w:asciiTheme="minorEastAsia" w:eastAsiaTheme="minorEastAsia" w:hAnsiTheme="minorEastAsia" w:hint="eastAsia"/>
          <w:szCs w:val="22"/>
        </w:rPr>
        <w:t>深翻整平地面，按行距1.3 m～1.6 m挖定植沟，沟宽40 cm、沟深35 cm～50 cm。按每亩腐熟农家肥6000 kg～8000 kg、腐熟饼肥800 kg～1000 kg、平衡型复合肥30 kg～50 kg、生物有机肥50 kg～100 kg，填土5 cm～8 cm与肥料混匀施入定植沟中，覆土将定植沟填至地平面。</w:t>
      </w:r>
    </w:p>
    <w:p w:rsidR="008F3C3A" w:rsidRDefault="001A3ADD">
      <w:pPr>
        <w:pStyle w:val="af"/>
        <w:widowControl w:val="0"/>
        <w:numPr>
          <w:ilvl w:val="1"/>
          <w:numId w:val="2"/>
        </w:numPr>
      </w:pPr>
      <w:r>
        <w:rPr>
          <w:rFonts w:hint="eastAsia"/>
        </w:rPr>
        <w:t>移栽</w:t>
      </w:r>
    </w:p>
    <w:p w:rsidR="008F3C3A" w:rsidRDefault="001A3ADD">
      <w:pPr>
        <w:pStyle w:val="af"/>
        <w:widowControl w:val="0"/>
        <w:numPr>
          <w:ilvl w:val="2"/>
          <w:numId w:val="2"/>
        </w:numPr>
        <w:ind w:left="0"/>
        <w:outlineLvl w:val="3"/>
      </w:pPr>
      <w:bookmarkStart w:id="5" w:name="_Toc6255"/>
      <w:bookmarkStart w:id="6" w:name="_Toc11585"/>
      <w:bookmarkStart w:id="7" w:name="_Toc10656"/>
      <w:r>
        <w:rPr>
          <w:rFonts w:hint="eastAsia"/>
        </w:rPr>
        <w:t>移栽时间</w:t>
      </w:r>
    </w:p>
    <w:p w:rsidR="008F3C3A" w:rsidRDefault="001A3ADD">
      <w:pPr>
        <w:pStyle w:val="ae"/>
        <w:spacing w:before="156" w:after="156"/>
        <w:rPr>
          <w:rFonts w:ascii="Times New Roman"/>
          <w:szCs w:val="22"/>
        </w:rPr>
      </w:pPr>
      <w:r>
        <w:rPr>
          <w:rFonts w:ascii="Times New Roman"/>
          <w:szCs w:val="22"/>
        </w:rPr>
        <w:t>待苗龄</w:t>
      </w:r>
      <w:r>
        <w:rPr>
          <w:rFonts w:ascii="Times New Roman"/>
          <w:szCs w:val="22"/>
        </w:rPr>
        <w:t>60 d</w:t>
      </w:r>
      <w:r>
        <w:rPr>
          <w:rFonts w:ascii="Times New Roman"/>
          <w:szCs w:val="22"/>
        </w:rPr>
        <w:t>以上，每株抽生地上茎</w:t>
      </w:r>
      <w:r>
        <w:rPr>
          <w:rFonts w:ascii="Times New Roman"/>
          <w:szCs w:val="22"/>
        </w:rPr>
        <w:t>3</w:t>
      </w:r>
      <w:r>
        <w:rPr>
          <w:rFonts w:ascii="Times New Roman"/>
          <w:szCs w:val="22"/>
        </w:rPr>
        <w:t>苗以上、发生肉质根</w:t>
      </w:r>
      <w:r>
        <w:rPr>
          <w:rFonts w:ascii="Times New Roman"/>
          <w:szCs w:val="22"/>
        </w:rPr>
        <w:t>5</w:t>
      </w:r>
      <w:r>
        <w:rPr>
          <w:rFonts w:ascii="Times New Roman"/>
          <w:szCs w:val="22"/>
        </w:rPr>
        <w:t>条以上</w:t>
      </w:r>
      <w:r>
        <w:rPr>
          <w:rFonts w:ascii="Times New Roman" w:hint="eastAsia"/>
          <w:szCs w:val="22"/>
        </w:rPr>
        <w:t>、苗高至</w:t>
      </w:r>
      <w:r>
        <w:rPr>
          <w:rFonts w:ascii="Times New Roman" w:hint="eastAsia"/>
          <w:szCs w:val="22"/>
        </w:rPr>
        <w:t>25</w:t>
      </w:r>
      <w:r>
        <w:rPr>
          <w:rFonts w:ascii="Times New Roman"/>
          <w:szCs w:val="22"/>
        </w:rPr>
        <w:t xml:space="preserve"> </w:t>
      </w:r>
      <w:r>
        <w:rPr>
          <w:rFonts w:ascii="Times New Roman" w:hint="eastAsia"/>
          <w:szCs w:val="22"/>
        </w:rPr>
        <w:t>cm</w:t>
      </w:r>
      <w:r>
        <w:rPr>
          <w:rFonts w:ascii="Times New Roman" w:hint="eastAsia"/>
          <w:szCs w:val="22"/>
        </w:rPr>
        <w:t>左右时</w:t>
      </w:r>
      <w:r>
        <w:rPr>
          <w:rFonts w:ascii="Times New Roman"/>
          <w:szCs w:val="22"/>
        </w:rPr>
        <w:t>即可</w:t>
      </w:r>
      <w:r>
        <w:rPr>
          <w:rFonts w:ascii="Times New Roman" w:hint="eastAsia"/>
          <w:szCs w:val="22"/>
        </w:rPr>
        <w:t>移栽。</w:t>
      </w:r>
    </w:p>
    <w:p w:rsidR="008F3C3A" w:rsidRDefault="001A3ADD">
      <w:pPr>
        <w:pStyle w:val="af"/>
        <w:widowControl w:val="0"/>
        <w:numPr>
          <w:ilvl w:val="2"/>
          <w:numId w:val="2"/>
        </w:numPr>
        <w:ind w:left="0"/>
        <w:outlineLvl w:val="3"/>
      </w:pPr>
      <w:r>
        <w:t>移栽方法</w:t>
      </w:r>
    </w:p>
    <w:p w:rsidR="008F3C3A" w:rsidRDefault="001A3ADD">
      <w:pPr>
        <w:pStyle w:val="ae"/>
        <w:spacing w:before="156" w:after="156"/>
        <w:rPr>
          <w:rFonts w:ascii="Times New Roman"/>
          <w:szCs w:val="22"/>
        </w:rPr>
      </w:pPr>
      <w:r>
        <w:rPr>
          <w:rFonts w:ascii="Times New Roman" w:hint="eastAsia"/>
          <w:szCs w:val="22"/>
        </w:rPr>
        <w:t>将定植沟上耙平打窝，</w:t>
      </w:r>
      <w:proofErr w:type="gramStart"/>
      <w:r>
        <w:rPr>
          <w:rFonts w:ascii="Times New Roman" w:hint="eastAsia"/>
          <w:szCs w:val="22"/>
        </w:rPr>
        <w:t>窝深</w:t>
      </w:r>
      <w:proofErr w:type="gramEnd"/>
      <w:r>
        <w:rPr>
          <w:rFonts w:ascii="Times New Roman" w:hint="eastAsia"/>
          <w:szCs w:val="22"/>
        </w:rPr>
        <w:t>8 cm</w:t>
      </w:r>
      <w:r>
        <w:rPr>
          <w:rFonts w:ascii="Times New Roman" w:hint="eastAsia"/>
          <w:szCs w:val="22"/>
        </w:rPr>
        <w:t>～</w:t>
      </w:r>
      <w:r>
        <w:rPr>
          <w:rFonts w:ascii="Times New Roman" w:hint="eastAsia"/>
          <w:szCs w:val="22"/>
        </w:rPr>
        <w:t>13 cm</w:t>
      </w:r>
      <w:r>
        <w:rPr>
          <w:rFonts w:ascii="Times New Roman" w:hint="eastAsia"/>
          <w:szCs w:val="22"/>
        </w:rPr>
        <w:t>，</w:t>
      </w:r>
      <w:proofErr w:type="gramStart"/>
      <w:r>
        <w:rPr>
          <w:rFonts w:ascii="Times New Roman" w:hint="eastAsia"/>
          <w:szCs w:val="22"/>
        </w:rPr>
        <w:t>窝距</w:t>
      </w:r>
      <w:proofErr w:type="gramEnd"/>
      <w:r>
        <w:rPr>
          <w:rFonts w:ascii="Times New Roman" w:hint="eastAsia"/>
          <w:szCs w:val="22"/>
        </w:rPr>
        <w:t>25 cm</w:t>
      </w:r>
      <w:r>
        <w:rPr>
          <w:rFonts w:ascii="Times New Roman" w:hint="eastAsia"/>
          <w:szCs w:val="22"/>
        </w:rPr>
        <w:t>～</w:t>
      </w:r>
      <w:r>
        <w:rPr>
          <w:rFonts w:ascii="Times New Roman" w:hint="eastAsia"/>
          <w:szCs w:val="22"/>
        </w:rPr>
        <w:t>30 cm</w:t>
      </w:r>
      <w:r>
        <w:rPr>
          <w:rFonts w:ascii="Times New Roman" w:hint="eastAsia"/>
          <w:szCs w:val="22"/>
        </w:rPr>
        <w:t>，每亩移栽</w:t>
      </w:r>
      <w:r>
        <w:rPr>
          <w:rFonts w:ascii="Times New Roman" w:hint="eastAsia"/>
          <w:szCs w:val="22"/>
        </w:rPr>
        <w:t xml:space="preserve">1400 </w:t>
      </w:r>
      <w:r>
        <w:rPr>
          <w:rFonts w:ascii="Times New Roman" w:hint="eastAsia"/>
          <w:szCs w:val="22"/>
        </w:rPr>
        <w:t>株～</w:t>
      </w:r>
      <w:r>
        <w:rPr>
          <w:rFonts w:ascii="Times New Roman" w:hint="eastAsia"/>
          <w:szCs w:val="22"/>
        </w:rPr>
        <w:t xml:space="preserve">2000 </w:t>
      </w:r>
      <w:r>
        <w:rPr>
          <w:rFonts w:ascii="Times New Roman" w:hint="eastAsia"/>
          <w:szCs w:val="22"/>
        </w:rPr>
        <w:t>株。每窝栽</w:t>
      </w:r>
      <w:r>
        <w:rPr>
          <w:rFonts w:ascii="Times New Roman" w:hint="eastAsia"/>
          <w:szCs w:val="22"/>
        </w:rPr>
        <w:t>1</w:t>
      </w:r>
      <w:r>
        <w:rPr>
          <w:rFonts w:ascii="Times New Roman" w:hint="eastAsia"/>
          <w:szCs w:val="22"/>
        </w:rPr>
        <w:t>株壮苗，将</w:t>
      </w:r>
      <w:proofErr w:type="gramStart"/>
      <w:r>
        <w:rPr>
          <w:rFonts w:ascii="Times New Roman" w:hint="eastAsia"/>
          <w:szCs w:val="22"/>
        </w:rPr>
        <w:t>地下茎着</w:t>
      </w:r>
      <w:proofErr w:type="gramEnd"/>
      <w:r>
        <w:rPr>
          <w:rFonts w:ascii="Times New Roman" w:hint="eastAsia"/>
          <w:szCs w:val="22"/>
        </w:rPr>
        <w:t>生鳞芽一端顺着定植沟同向成行定植，覆土压实，</w:t>
      </w:r>
      <w:proofErr w:type="gramStart"/>
      <w:r>
        <w:rPr>
          <w:rFonts w:ascii="Times New Roman" w:hint="eastAsia"/>
          <w:szCs w:val="22"/>
        </w:rPr>
        <w:t>浇足定根</w:t>
      </w:r>
      <w:proofErr w:type="gramEnd"/>
      <w:r>
        <w:rPr>
          <w:rFonts w:ascii="Times New Roman" w:hint="eastAsia"/>
          <w:szCs w:val="22"/>
        </w:rPr>
        <w:t>水。</w:t>
      </w:r>
    </w:p>
    <w:bookmarkEnd w:id="5"/>
    <w:bookmarkEnd w:id="6"/>
    <w:bookmarkEnd w:id="7"/>
    <w:p w:rsidR="008F3C3A" w:rsidRDefault="001A3ADD">
      <w:pPr>
        <w:pStyle w:val="af1"/>
        <w:numPr>
          <w:ilvl w:val="0"/>
          <w:numId w:val="2"/>
        </w:numPr>
      </w:pPr>
      <w:r>
        <w:rPr>
          <w:rFonts w:hint="eastAsia"/>
        </w:rPr>
        <w:t>田间管理</w:t>
      </w:r>
    </w:p>
    <w:p w:rsidR="008F3C3A" w:rsidRDefault="001A3ADD">
      <w:pPr>
        <w:pStyle w:val="af"/>
        <w:widowControl w:val="0"/>
        <w:numPr>
          <w:ilvl w:val="1"/>
          <w:numId w:val="2"/>
        </w:numPr>
      </w:pPr>
      <w:r>
        <w:rPr>
          <w:rFonts w:hint="eastAsia"/>
        </w:rPr>
        <w:t>灌溉</w:t>
      </w:r>
    </w:p>
    <w:p w:rsidR="008F3C3A" w:rsidRDefault="001A3ADD">
      <w:pPr>
        <w:pStyle w:val="ae"/>
        <w:rPr>
          <w:rFonts w:ascii="Times New Roman"/>
          <w:szCs w:val="22"/>
        </w:rPr>
      </w:pPr>
      <w:r>
        <w:rPr>
          <w:rFonts w:ascii="Times New Roman"/>
          <w:szCs w:val="22"/>
        </w:rPr>
        <w:t>遵循</w:t>
      </w:r>
      <w:r>
        <w:rPr>
          <w:rFonts w:ascii="Times New Roman" w:hint="eastAsia"/>
          <w:szCs w:val="22"/>
        </w:rPr>
        <w:t>“</w:t>
      </w:r>
      <w:r>
        <w:rPr>
          <w:rFonts w:ascii="Times New Roman"/>
          <w:szCs w:val="22"/>
        </w:rPr>
        <w:t>少量多次</w:t>
      </w:r>
      <w:r>
        <w:rPr>
          <w:rFonts w:ascii="Times New Roman" w:hint="eastAsia"/>
          <w:szCs w:val="22"/>
        </w:rPr>
        <w:t>”</w:t>
      </w:r>
      <w:r>
        <w:rPr>
          <w:rFonts w:ascii="Times New Roman"/>
          <w:szCs w:val="22"/>
        </w:rPr>
        <w:t>的原则，根据不同生育期进行水分管理。</w:t>
      </w:r>
      <w:r>
        <w:rPr>
          <w:szCs w:val="22"/>
        </w:rPr>
        <w:t>育苗出苗时要小水勤浇，保持育苗基质</w:t>
      </w:r>
      <w:bookmarkStart w:id="8" w:name="_Hlk83732431"/>
      <w:r>
        <w:rPr>
          <w:szCs w:val="22"/>
        </w:rPr>
        <w:t>湿润</w:t>
      </w:r>
      <w:bookmarkEnd w:id="8"/>
      <w:r>
        <w:rPr>
          <w:szCs w:val="22"/>
        </w:rPr>
        <w:t>；</w:t>
      </w:r>
      <w:r>
        <w:rPr>
          <w:rFonts w:ascii="Times New Roman"/>
          <w:szCs w:val="22"/>
        </w:rPr>
        <w:t>留母</w:t>
      </w:r>
      <w:proofErr w:type="gramStart"/>
      <w:r>
        <w:rPr>
          <w:rFonts w:ascii="Times New Roman"/>
          <w:szCs w:val="22"/>
        </w:rPr>
        <w:t>茎期间</w:t>
      </w:r>
      <w:proofErr w:type="gramEnd"/>
      <w:r>
        <w:rPr>
          <w:rFonts w:ascii="Times New Roman"/>
          <w:szCs w:val="22"/>
        </w:rPr>
        <w:t>土壤田间持水量保持在</w:t>
      </w:r>
      <w:r>
        <w:rPr>
          <w:rFonts w:ascii="Times New Roman"/>
          <w:szCs w:val="22"/>
        </w:rPr>
        <w:t>65%</w:t>
      </w:r>
      <w:r>
        <w:rPr>
          <w:rFonts w:ascii="Times New Roman"/>
          <w:szCs w:val="22"/>
        </w:rPr>
        <w:t>左右；采笋期间土壤田间持水量保持在</w:t>
      </w:r>
      <w:r>
        <w:rPr>
          <w:rFonts w:ascii="Times New Roman"/>
          <w:szCs w:val="22"/>
        </w:rPr>
        <w:t>75%</w:t>
      </w:r>
      <w:r>
        <w:rPr>
          <w:rFonts w:ascii="Times New Roman"/>
          <w:szCs w:val="22"/>
        </w:rPr>
        <w:t>左右。</w:t>
      </w:r>
    </w:p>
    <w:p w:rsidR="008F3C3A" w:rsidRDefault="001A3ADD">
      <w:pPr>
        <w:pStyle w:val="af"/>
        <w:widowControl w:val="0"/>
        <w:numPr>
          <w:ilvl w:val="1"/>
          <w:numId w:val="2"/>
        </w:numPr>
      </w:pPr>
      <w:r>
        <w:rPr>
          <w:rFonts w:hint="eastAsia"/>
        </w:rPr>
        <w:t>施肥</w:t>
      </w:r>
    </w:p>
    <w:p w:rsidR="008F3C3A" w:rsidRDefault="001A3ADD">
      <w:pPr>
        <w:pStyle w:val="af"/>
        <w:widowControl w:val="0"/>
        <w:numPr>
          <w:ilvl w:val="2"/>
          <w:numId w:val="2"/>
        </w:numPr>
        <w:ind w:left="0"/>
        <w:outlineLvl w:val="3"/>
      </w:pPr>
      <w:r>
        <w:rPr>
          <w:rFonts w:hint="eastAsia"/>
        </w:rPr>
        <w:t>基本原则</w:t>
      </w:r>
    </w:p>
    <w:p w:rsidR="008F3C3A" w:rsidRDefault="001A3ADD">
      <w:pPr>
        <w:pStyle w:val="ae"/>
        <w:rPr>
          <w:rFonts w:ascii="Times New Roman"/>
          <w:szCs w:val="22"/>
        </w:rPr>
      </w:pPr>
      <w:r>
        <w:t>应以农家肥料、有机肥料、微生物肥料为主，化学肥料为辅的原则，肥料施用</w:t>
      </w:r>
      <w:r>
        <w:rPr>
          <w:rFonts w:eastAsia="黑体" w:hint="eastAsia"/>
        </w:rPr>
        <w:t>应</w:t>
      </w:r>
      <w:r>
        <w:t>符合NY/T 394的规定。</w:t>
      </w:r>
    </w:p>
    <w:p w:rsidR="008F3C3A" w:rsidRDefault="001A3ADD">
      <w:pPr>
        <w:pStyle w:val="af"/>
        <w:widowControl w:val="0"/>
        <w:numPr>
          <w:ilvl w:val="2"/>
          <w:numId w:val="2"/>
        </w:numPr>
        <w:ind w:left="0"/>
        <w:outlineLvl w:val="3"/>
      </w:pPr>
      <w:bookmarkStart w:id="9" w:name="_Hlk83568571"/>
      <w:r>
        <w:rPr>
          <w:rFonts w:hint="eastAsia"/>
        </w:rPr>
        <w:t>幼龄</w:t>
      </w:r>
      <w:proofErr w:type="gramStart"/>
      <w:r>
        <w:rPr>
          <w:rFonts w:hint="eastAsia"/>
        </w:rPr>
        <w:t>笋</w:t>
      </w:r>
      <w:bookmarkEnd w:id="9"/>
      <w:proofErr w:type="gramEnd"/>
      <w:r>
        <w:rPr>
          <w:rFonts w:hint="eastAsia"/>
        </w:rPr>
        <w:t>追肥</w:t>
      </w:r>
    </w:p>
    <w:p w:rsidR="008F3C3A" w:rsidRDefault="001A3ADD">
      <w:pPr>
        <w:pStyle w:val="ae"/>
        <w:rPr>
          <w:rFonts w:ascii="Times New Roman"/>
          <w:szCs w:val="22"/>
        </w:rPr>
      </w:pPr>
      <w:r>
        <w:rPr>
          <w:rFonts w:ascii="Times New Roman" w:hint="eastAsia"/>
          <w:szCs w:val="22"/>
        </w:rPr>
        <w:lastRenderedPageBreak/>
        <w:t>定植后</w:t>
      </w:r>
      <w:r>
        <w:rPr>
          <w:rFonts w:ascii="Times New Roman"/>
          <w:szCs w:val="22"/>
        </w:rPr>
        <w:t>20 d</w:t>
      </w:r>
      <w:r>
        <w:rPr>
          <w:rFonts w:ascii="Times New Roman"/>
          <w:szCs w:val="22"/>
        </w:rPr>
        <w:t>左右第</w:t>
      </w:r>
      <w:r>
        <w:rPr>
          <w:rFonts w:ascii="Times New Roman"/>
          <w:szCs w:val="22"/>
        </w:rPr>
        <w:t>1</w:t>
      </w:r>
      <w:r>
        <w:rPr>
          <w:rFonts w:ascii="Times New Roman"/>
          <w:szCs w:val="22"/>
        </w:rPr>
        <w:t>次追肥，每</w:t>
      </w:r>
      <w:r>
        <w:rPr>
          <w:rFonts w:ascii="Times New Roman" w:hint="eastAsia"/>
          <w:szCs w:val="22"/>
        </w:rPr>
        <w:t>亩施</w:t>
      </w:r>
      <w:proofErr w:type="gramStart"/>
      <w:r>
        <w:rPr>
          <w:rFonts w:ascii="Times New Roman" w:hint="eastAsia"/>
          <w:szCs w:val="22"/>
        </w:rPr>
        <w:t>高氮型复合肥</w:t>
      </w:r>
      <w:proofErr w:type="gramEnd"/>
      <w:r>
        <w:rPr>
          <w:rFonts w:ascii="Times New Roman" w:hint="eastAsia"/>
          <w:szCs w:val="22"/>
        </w:rPr>
        <w:t>5 kg</w:t>
      </w:r>
      <w:r>
        <w:rPr>
          <w:rFonts w:ascii="Times New Roman" w:hint="eastAsia"/>
          <w:szCs w:val="22"/>
        </w:rPr>
        <w:t>～</w:t>
      </w:r>
      <w:r>
        <w:rPr>
          <w:rFonts w:ascii="Times New Roman" w:hint="eastAsia"/>
          <w:szCs w:val="22"/>
        </w:rPr>
        <w:t>10 kg</w:t>
      </w:r>
      <w:r>
        <w:rPr>
          <w:rFonts w:ascii="Times New Roman" w:hint="eastAsia"/>
          <w:szCs w:val="22"/>
        </w:rPr>
        <w:t>；定植后</w:t>
      </w:r>
      <w:r>
        <w:rPr>
          <w:rFonts w:ascii="Times New Roman" w:hint="eastAsia"/>
          <w:szCs w:val="22"/>
        </w:rPr>
        <w:t>45 d</w:t>
      </w:r>
      <w:r>
        <w:rPr>
          <w:rFonts w:ascii="Times New Roman" w:hint="eastAsia"/>
          <w:szCs w:val="22"/>
        </w:rPr>
        <w:t>左右第</w:t>
      </w:r>
      <w:r>
        <w:rPr>
          <w:rFonts w:ascii="Times New Roman" w:hint="eastAsia"/>
          <w:szCs w:val="22"/>
        </w:rPr>
        <w:t>2</w:t>
      </w:r>
      <w:r>
        <w:rPr>
          <w:rFonts w:ascii="Times New Roman" w:hint="eastAsia"/>
          <w:szCs w:val="22"/>
        </w:rPr>
        <w:t>次追肥，每亩施</w:t>
      </w:r>
      <w:proofErr w:type="gramStart"/>
      <w:r>
        <w:rPr>
          <w:rFonts w:ascii="Times New Roman" w:hint="eastAsia"/>
          <w:szCs w:val="22"/>
        </w:rPr>
        <w:t>高氮型复合肥</w:t>
      </w:r>
      <w:proofErr w:type="gramEnd"/>
      <w:r>
        <w:rPr>
          <w:rFonts w:ascii="Times New Roman" w:hint="eastAsia"/>
          <w:szCs w:val="22"/>
        </w:rPr>
        <w:t>10 kg</w:t>
      </w:r>
      <w:r>
        <w:rPr>
          <w:rFonts w:ascii="Times New Roman" w:hint="eastAsia"/>
          <w:szCs w:val="22"/>
        </w:rPr>
        <w:t>～</w:t>
      </w:r>
      <w:r>
        <w:rPr>
          <w:rFonts w:ascii="Times New Roman" w:hint="eastAsia"/>
          <w:szCs w:val="22"/>
        </w:rPr>
        <w:t>15 kg</w:t>
      </w:r>
      <w:r>
        <w:rPr>
          <w:rFonts w:ascii="Times New Roman" w:hint="eastAsia"/>
          <w:szCs w:val="22"/>
        </w:rPr>
        <w:t>；以后每隔</w:t>
      </w:r>
      <w:r>
        <w:rPr>
          <w:rFonts w:ascii="Times New Roman" w:hint="eastAsia"/>
          <w:szCs w:val="22"/>
        </w:rPr>
        <w:t>60 d</w:t>
      </w:r>
      <w:r>
        <w:rPr>
          <w:rFonts w:ascii="Times New Roman" w:hint="eastAsia"/>
          <w:szCs w:val="22"/>
        </w:rPr>
        <w:t>左右，每亩追施平衡型复合肥</w:t>
      </w:r>
      <w:r>
        <w:rPr>
          <w:rFonts w:ascii="Times New Roman"/>
          <w:szCs w:val="22"/>
        </w:rPr>
        <w:t>20</w:t>
      </w:r>
      <w:r>
        <w:rPr>
          <w:rFonts w:ascii="Times New Roman" w:hint="eastAsia"/>
          <w:szCs w:val="22"/>
        </w:rPr>
        <w:t>kg</w:t>
      </w:r>
      <w:r>
        <w:rPr>
          <w:rFonts w:ascii="Times New Roman" w:hint="eastAsia"/>
          <w:szCs w:val="22"/>
        </w:rPr>
        <w:t>～</w:t>
      </w:r>
      <w:r>
        <w:rPr>
          <w:rFonts w:ascii="Times New Roman"/>
          <w:szCs w:val="22"/>
        </w:rPr>
        <w:t>30</w:t>
      </w:r>
      <w:r>
        <w:rPr>
          <w:rFonts w:ascii="Times New Roman" w:hint="eastAsia"/>
          <w:szCs w:val="22"/>
        </w:rPr>
        <w:t xml:space="preserve"> kg</w:t>
      </w:r>
      <w:r>
        <w:rPr>
          <w:rFonts w:ascii="Times New Roman" w:hint="eastAsia"/>
          <w:szCs w:val="22"/>
        </w:rPr>
        <w:t>。施肥后覆土浇水。夏</w:t>
      </w:r>
      <w:proofErr w:type="gramStart"/>
      <w:r>
        <w:rPr>
          <w:rFonts w:ascii="Times New Roman" w:hint="eastAsia"/>
          <w:szCs w:val="22"/>
        </w:rPr>
        <w:t>秋季清园后</w:t>
      </w:r>
      <w:proofErr w:type="gramEnd"/>
      <w:r>
        <w:rPr>
          <w:rFonts w:ascii="Times New Roman" w:hint="eastAsia"/>
          <w:szCs w:val="22"/>
        </w:rPr>
        <w:t>，每亩施农家肥</w:t>
      </w:r>
      <w:r>
        <w:rPr>
          <w:rFonts w:ascii="Times New Roman" w:hint="eastAsia"/>
          <w:szCs w:val="22"/>
        </w:rPr>
        <w:t>1600 kg</w:t>
      </w:r>
      <w:r>
        <w:rPr>
          <w:rFonts w:ascii="Times New Roman" w:hint="eastAsia"/>
          <w:szCs w:val="22"/>
        </w:rPr>
        <w:t>～</w:t>
      </w:r>
      <w:r>
        <w:rPr>
          <w:rFonts w:ascii="Times New Roman" w:hint="eastAsia"/>
          <w:szCs w:val="22"/>
        </w:rPr>
        <w:t>2000 kg</w:t>
      </w:r>
      <w:r>
        <w:rPr>
          <w:rFonts w:ascii="Times New Roman" w:hint="eastAsia"/>
          <w:szCs w:val="22"/>
        </w:rPr>
        <w:t>。施肥方式为在距植株约</w:t>
      </w:r>
      <w:r>
        <w:rPr>
          <w:rFonts w:ascii="Times New Roman" w:hint="eastAsia"/>
          <w:szCs w:val="22"/>
        </w:rPr>
        <w:t>30 cm</w:t>
      </w:r>
      <w:r>
        <w:rPr>
          <w:rFonts w:ascii="Times New Roman" w:hint="eastAsia"/>
          <w:szCs w:val="22"/>
        </w:rPr>
        <w:t>处沿种植行方向开沟施入，施肥后覆土并及时浇透水。肥料</w:t>
      </w:r>
      <w:r>
        <w:rPr>
          <w:rFonts w:ascii="Times New Roman"/>
          <w:szCs w:val="22"/>
        </w:rPr>
        <w:t>应符合</w:t>
      </w:r>
      <w:r>
        <w:rPr>
          <w:rFonts w:ascii="Times New Roman"/>
          <w:szCs w:val="22"/>
        </w:rPr>
        <w:t>NY/T</w:t>
      </w:r>
      <w:r>
        <w:rPr>
          <w:rFonts w:ascii="Times New Roman" w:hint="eastAsia"/>
          <w:szCs w:val="22"/>
        </w:rPr>
        <w:t xml:space="preserve"> </w:t>
      </w:r>
      <w:r>
        <w:rPr>
          <w:rFonts w:ascii="Times New Roman"/>
          <w:szCs w:val="22"/>
        </w:rPr>
        <w:t>394</w:t>
      </w:r>
      <w:r>
        <w:rPr>
          <w:rFonts w:ascii="Times New Roman"/>
          <w:szCs w:val="22"/>
        </w:rPr>
        <w:t>的要求。</w:t>
      </w:r>
    </w:p>
    <w:p w:rsidR="008F3C3A" w:rsidRDefault="001A3ADD">
      <w:pPr>
        <w:pStyle w:val="af"/>
        <w:widowControl w:val="0"/>
        <w:numPr>
          <w:ilvl w:val="2"/>
          <w:numId w:val="2"/>
        </w:numPr>
        <w:ind w:left="0"/>
        <w:outlineLvl w:val="3"/>
      </w:pPr>
      <w:r>
        <w:rPr>
          <w:rFonts w:hint="eastAsia"/>
        </w:rPr>
        <w:t>成龄</w:t>
      </w:r>
      <w:proofErr w:type="gramStart"/>
      <w:r>
        <w:rPr>
          <w:rFonts w:hint="eastAsia"/>
        </w:rPr>
        <w:t>笋</w:t>
      </w:r>
      <w:proofErr w:type="gramEnd"/>
      <w:r>
        <w:rPr>
          <w:rFonts w:hint="eastAsia"/>
        </w:rPr>
        <w:t>追肥</w:t>
      </w:r>
    </w:p>
    <w:p w:rsidR="008F3C3A" w:rsidRDefault="001A3ADD">
      <w:pPr>
        <w:pStyle w:val="ae"/>
        <w:rPr>
          <w:rFonts w:ascii="Times New Roman"/>
          <w:szCs w:val="22"/>
        </w:rPr>
      </w:pPr>
      <w:r>
        <w:rPr>
          <w:rFonts w:ascii="Times New Roman" w:hint="eastAsia"/>
          <w:szCs w:val="22"/>
        </w:rPr>
        <w:t>2</w:t>
      </w:r>
      <w:r>
        <w:rPr>
          <w:rFonts w:ascii="Times New Roman" w:hint="eastAsia"/>
          <w:szCs w:val="22"/>
        </w:rPr>
        <w:t>月中下旬，每亩施腐熟农家肥</w:t>
      </w:r>
      <w:r>
        <w:rPr>
          <w:rFonts w:ascii="Times New Roman" w:hint="eastAsia"/>
          <w:szCs w:val="22"/>
        </w:rPr>
        <w:t>1000 kg</w:t>
      </w:r>
      <w:r>
        <w:rPr>
          <w:rFonts w:ascii="Times New Roman" w:hint="eastAsia"/>
          <w:szCs w:val="22"/>
        </w:rPr>
        <w:t>～</w:t>
      </w:r>
      <w:r>
        <w:rPr>
          <w:rFonts w:ascii="Times New Roman" w:hint="eastAsia"/>
          <w:szCs w:val="22"/>
        </w:rPr>
        <w:t>2000 kg</w:t>
      </w:r>
      <w:r>
        <w:rPr>
          <w:rFonts w:ascii="Times New Roman" w:hint="eastAsia"/>
          <w:szCs w:val="22"/>
        </w:rPr>
        <w:t>，配合施入</w:t>
      </w:r>
      <w:proofErr w:type="gramStart"/>
      <w:r>
        <w:rPr>
          <w:rFonts w:ascii="Times New Roman" w:hint="eastAsia"/>
          <w:szCs w:val="22"/>
        </w:rPr>
        <w:t>高氮型复合肥</w:t>
      </w:r>
      <w:proofErr w:type="gramEnd"/>
      <w:r>
        <w:rPr>
          <w:rFonts w:ascii="Times New Roman"/>
          <w:szCs w:val="22"/>
        </w:rPr>
        <w:t>2</w:t>
      </w:r>
      <w:r>
        <w:rPr>
          <w:rFonts w:ascii="Times New Roman" w:hint="eastAsia"/>
          <w:szCs w:val="22"/>
        </w:rPr>
        <w:t>0 kg</w:t>
      </w:r>
      <w:r>
        <w:rPr>
          <w:rFonts w:ascii="Times New Roman" w:hint="eastAsia"/>
          <w:szCs w:val="22"/>
        </w:rPr>
        <w:t>～</w:t>
      </w:r>
      <w:r>
        <w:rPr>
          <w:rFonts w:ascii="Times New Roman"/>
          <w:szCs w:val="22"/>
        </w:rPr>
        <w:t>3</w:t>
      </w:r>
      <w:r>
        <w:rPr>
          <w:rFonts w:ascii="Times New Roman" w:hint="eastAsia"/>
          <w:szCs w:val="22"/>
        </w:rPr>
        <w:t>0 kg</w:t>
      </w:r>
      <w:r>
        <w:rPr>
          <w:rFonts w:ascii="Times New Roman" w:hint="eastAsia"/>
          <w:szCs w:val="22"/>
        </w:rPr>
        <w:t>。</w:t>
      </w:r>
      <w:r>
        <w:rPr>
          <w:rFonts w:ascii="Times New Roman" w:hint="eastAsia"/>
          <w:szCs w:val="22"/>
        </w:rPr>
        <w:t>6</w:t>
      </w:r>
      <w:r>
        <w:rPr>
          <w:rFonts w:ascii="Times New Roman" w:hint="eastAsia"/>
          <w:szCs w:val="22"/>
        </w:rPr>
        <w:t>月上中旬，每亩</w:t>
      </w:r>
      <w:proofErr w:type="gramStart"/>
      <w:r>
        <w:rPr>
          <w:rFonts w:ascii="Times New Roman" w:hint="eastAsia"/>
          <w:szCs w:val="22"/>
        </w:rPr>
        <w:t>施平衡</w:t>
      </w:r>
      <w:proofErr w:type="gramEnd"/>
      <w:r>
        <w:rPr>
          <w:rFonts w:ascii="Times New Roman" w:hint="eastAsia"/>
          <w:szCs w:val="22"/>
        </w:rPr>
        <w:t>型复合肥</w:t>
      </w:r>
      <w:r>
        <w:rPr>
          <w:rFonts w:ascii="Times New Roman" w:hint="eastAsia"/>
          <w:szCs w:val="22"/>
        </w:rPr>
        <w:t>30 kg</w:t>
      </w:r>
      <w:r>
        <w:rPr>
          <w:rFonts w:ascii="Times New Roman" w:hint="eastAsia"/>
          <w:szCs w:val="22"/>
        </w:rPr>
        <w:t>～</w:t>
      </w:r>
      <w:r>
        <w:rPr>
          <w:rFonts w:ascii="Times New Roman" w:hint="eastAsia"/>
          <w:szCs w:val="22"/>
        </w:rPr>
        <w:t>40 kg</w:t>
      </w:r>
      <w:r>
        <w:rPr>
          <w:rFonts w:ascii="Times New Roman" w:hint="eastAsia"/>
          <w:szCs w:val="22"/>
        </w:rPr>
        <w:t>。夏</w:t>
      </w:r>
      <w:proofErr w:type="gramStart"/>
      <w:r>
        <w:rPr>
          <w:rFonts w:ascii="Times New Roman" w:hint="eastAsia"/>
          <w:szCs w:val="22"/>
        </w:rPr>
        <w:t>秋季清园后</w:t>
      </w:r>
      <w:proofErr w:type="gramEnd"/>
      <w:r>
        <w:rPr>
          <w:rFonts w:ascii="Times New Roman" w:hint="eastAsia"/>
          <w:szCs w:val="22"/>
        </w:rPr>
        <w:t>，每亩施腐熟农家肥</w:t>
      </w:r>
      <w:r>
        <w:rPr>
          <w:rFonts w:ascii="Times New Roman" w:hint="eastAsia"/>
          <w:szCs w:val="22"/>
        </w:rPr>
        <w:t>3000 kg</w:t>
      </w:r>
      <w:r>
        <w:rPr>
          <w:rFonts w:ascii="Times New Roman" w:hint="eastAsia"/>
          <w:szCs w:val="22"/>
        </w:rPr>
        <w:t>～</w:t>
      </w:r>
      <w:r>
        <w:rPr>
          <w:rFonts w:ascii="Times New Roman" w:hint="eastAsia"/>
          <w:szCs w:val="22"/>
        </w:rPr>
        <w:t>4000 kg</w:t>
      </w:r>
      <w:r>
        <w:rPr>
          <w:rFonts w:ascii="Times New Roman" w:hint="eastAsia"/>
          <w:szCs w:val="22"/>
        </w:rPr>
        <w:t>，平衡性复合肥</w:t>
      </w:r>
      <w:r>
        <w:rPr>
          <w:rFonts w:ascii="Times New Roman" w:hint="eastAsia"/>
          <w:szCs w:val="22"/>
        </w:rPr>
        <w:t>4</w:t>
      </w:r>
      <w:r>
        <w:rPr>
          <w:rFonts w:ascii="Times New Roman"/>
          <w:szCs w:val="22"/>
        </w:rPr>
        <w:t>0</w:t>
      </w:r>
      <w:r>
        <w:rPr>
          <w:rFonts w:ascii="Times New Roman" w:hint="eastAsia"/>
          <w:szCs w:val="22"/>
        </w:rPr>
        <w:t>kg</w:t>
      </w:r>
      <w:r>
        <w:rPr>
          <w:rFonts w:ascii="Times New Roman" w:hint="eastAsia"/>
          <w:szCs w:val="22"/>
        </w:rPr>
        <w:t>～</w:t>
      </w:r>
      <w:r>
        <w:rPr>
          <w:rFonts w:ascii="Times New Roman" w:hint="eastAsia"/>
          <w:szCs w:val="22"/>
        </w:rPr>
        <w:t>5</w:t>
      </w:r>
      <w:r>
        <w:rPr>
          <w:rFonts w:ascii="Times New Roman"/>
          <w:szCs w:val="22"/>
        </w:rPr>
        <w:t>0</w:t>
      </w:r>
      <w:r>
        <w:rPr>
          <w:rFonts w:ascii="Times New Roman" w:hint="eastAsia"/>
          <w:szCs w:val="22"/>
        </w:rPr>
        <w:t>kg</w:t>
      </w:r>
      <w:r>
        <w:rPr>
          <w:rFonts w:ascii="Times New Roman" w:hint="eastAsia"/>
          <w:szCs w:val="22"/>
        </w:rPr>
        <w:t>。</w:t>
      </w:r>
    </w:p>
    <w:p w:rsidR="008F3C3A" w:rsidRDefault="001A3ADD">
      <w:pPr>
        <w:pStyle w:val="af"/>
        <w:widowControl w:val="0"/>
        <w:numPr>
          <w:ilvl w:val="1"/>
          <w:numId w:val="2"/>
        </w:numPr>
      </w:pPr>
      <w:r>
        <w:rPr>
          <w:rFonts w:hint="eastAsia"/>
        </w:rPr>
        <w:t>病虫害防治</w:t>
      </w:r>
    </w:p>
    <w:p w:rsidR="008F3C3A" w:rsidRDefault="001A3ADD">
      <w:pPr>
        <w:pStyle w:val="af"/>
        <w:widowControl w:val="0"/>
        <w:numPr>
          <w:ilvl w:val="2"/>
          <w:numId w:val="2"/>
        </w:numPr>
        <w:ind w:left="0"/>
        <w:outlineLvl w:val="3"/>
      </w:pPr>
      <w:r>
        <w:rPr>
          <w:rFonts w:hint="eastAsia"/>
        </w:rPr>
        <w:t>防治原则</w:t>
      </w:r>
    </w:p>
    <w:p w:rsidR="008F3C3A" w:rsidRDefault="001A3ADD">
      <w:pPr>
        <w:pStyle w:val="ae"/>
        <w:rPr>
          <w:rFonts w:ascii="Times New Roman"/>
          <w:szCs w:val="22"/>
        </w:rPr>
      </w:pPr>
      <w:r>
        <w:rPr>
          <w:rFonts w:hint="eastAsia"/>
        </w:rPr>
        <w:t>预防为主，综合防治，优先采用农业防治、物理防治、生物防治，配合科学合理地使用化学防治。</w:t>
      </w:r>
    </w:p>
    <w:p w:rsidR="008F3C3A" w:rsidRDefault="001A3ADD">
      <w:pPr>
        <w:pStyle w:val="af"/>
        <w:widowControl w:val="0"/>
        <w:numPr>
          <w:ilvl w:val="2"/>
          <w:numId w:val="2"/>
        </w:numPr>
        <w:ind w:left="0"/>
        <w:outlineLvl w:val="3"/>
      </w:pPr>
      <w:r>
        <w:rPr>
          <w:rFonts w:hint="eastAsia"/>
        </w:rPr>
        <w:t>常见病虫害</w:t>
      </w:r>
    </w:p>
    <w:p w:rsidR="008F3C3A" w:rsidRDefault="001A3ADD">
      <w:pPr>
        <w:pStyle w:val="af5"/>
        <w:numPr>
          <w:ilvl w:val="3"/>
          <w:numId w:val="2"/>
        </w:numPr>
        <w:tabs>
          <w:tab w:val="clear" w:pos="0"/>
        </w:tabs>
        <w:outlineLvl w:val="4"/>
      </w:pPr>
      <w:r>
        <w:rPr>
          <w:rFonts w:hint="eastAsia"/>
        </w:rPr>
        <w:t>常见病害</w:t>
      </w:r>
      <w:r>
        <w:t>有茎枯病、褐斑病</w:t>
      </w:r>
      <w:r>
        <w:rPr>
          <w:rFonts w:hint="eastAsia"/>
        </w:rPr>
        <w:t>、</w:t>
      </w:r>
      <w:r>
        <w:t>根腐病等。</w:t>
      </w:r>
    </w:p>
    <w:p w:rsidR="008F3C3A" w:rsidRDefault="001A3ADD">
      <w:pPr>
        <w:pStyle w:val="af5"/>
        <w:numPr>
          <w:ilvl w:val="3"/>
          <w:numId w:val="2"/>
        </w:numPr>
        <w:tabs>
          <w:tab w:val="clear" w:pos="0"/>
        </w:tabs>
        <w:outlineLvl w:val="4"/>
      </w:pPr>
      <w:r>
        <w:rPr>
          <w:rFonts w:hint="eastAsia"/>
        </w:rPr>
        <w:t>常见虫害</w:t>
      </w:r>
      <w:r>
        <w:t>有</w:t>
      </w:r>
      <w:proofErr w:type="gramStart"/>
      <w:r>
        <w:rPr>
          <w:rFonts w:hint="eastAsia"/>
        </w:rPr>
        <w:t>蓟</w:t>
      </w:r>
      <w:proofErr w:type="gramEnd"/>
      <w:r>
        <w:rPr>
          <w:rFonts w:hint="eastAsia"/>
        </w:rPr>
        <w:t>马、</w:t>
      </w:r>
      <w:r>
        <w:t>甜菜夜蛾</w:t>
      </w:r>
      <w:r>
        <w:rPr>
          <w:rFonts w:hint="eastAsia"/>
        </w:rPr>
        <w:t>、棉铃虫</w:t>
      </w:r>
      <w:r>
        <w:t>等。</w:t>
      </w:r>
    </w:p>
    <w:p w:rsidR="008F3C3A" w:rsidRDefault="001A3ADD">
      <w:pPr>
        <w:pStyle w:val="af"/>
        <w:widowControl w:val="0"/>
        <w:numPr>
          <w:ilvl w:val="2"/>
          <w:numId w:val="2"/>
        </w:numPr>
        <w:ind w:left="0"/>
        <w:outlineLvl w:val="3"/>
      </w:pPr>
      <w:r>
        <w:rPr>
          <w:rFonts w:hint="eastAsia"/>
        </w:rPr>
        <w:t>防治措施</w:t>
      </w:r>
    </w:p>
    <w:p w:rsidR="008F3C3A" w:rsidRDefault="001A3ADD">
      <w:pPr>
        <w:pStyle w:val="af"/>
        <w:widowControl w:val="0"/>
        <w:numPr>
          <w:ilvl w:val="3"/>
          <w:numId w:val="2"/>
        </w:numPr>
        <w:outlineLvl w:val="4"/>
      </w:pPr>
      <w:r>
        <w:rPr>
          <w:rFonts w:hint="eastAsia"/>
        </w:rPr>
        <w:t>农业防治</w:t>
      </w:r>
    </w:p>
    <w:p w:rsidR="008F3C3A" w:rsidRDefault="001A3ADD">
      <w:pPr>
        <w:pStyle w:val="ae"/>
      </w:pPr>
      <w:r>
        <w:t>选用抗病品种、合理灌水施肥、</w:t>
      </w:r>
      <w:r>
        <w:rPr>
          <w:rFonts w:hint="eastAsia"/>
        </w:rPr>
        <w:t>培育</w:t>
      </w:r>
      <w:r>
        <w:t>选留母茎</w:t>
      </w:r>
      <w:r>
        <w:rPr>
          <w:rFonts w:hint="eastAsia"/>
        </w:rPr>
        <w:t>，</w:t>
      </w:r>
      <w:r>
        <w:rPr>
          <w:rFonts w:ascii="Times New Roman" w:hint="eastAsia"/>
          <w:szCs w:val="21"/>
        </w:rPr>
        <w:t>创造适宜的生育环境，提高抗逆性。</w:t>
      </w:r>
      <w:r>
        <w:rPr>
          <w:rFonts w:ascii="Times New Roman"/>
          <w:szCs w:val="22"/>
        </w:rPr>
        <w:t>及时拔除病株残茬</w:t>
      </w:r>
      <w:r>
        <w:rPr>
          <w:rFonts w:ascii="Times New Roman" w:hint="eastAsia"/>
          <w:szCs w:val="22"/>
        </w:rPr>
        <w:t>，</w:t>
      </w:r>
      <w:r>
        <w:t>保持田间清洁</w:t>
      </w:r>
      <w:r>
        <w:rPr>
          <w:rFonts w:hint="eastAsia"/>
        </w:rPr>
        <w:t>、</w:t>
      </w:r>
      <w:r>
        <w:t>通风透光</w:t>
      </w:r>
      <w:r>
        <w:rPr>
          <w:rFonts w:hint="eastAsia"/>
        </w:rPr>
        <w:t>，</w:t>
      </w:r>
      <w:r>
        <w:t>减少病害发生。</w:t>
      </w:r>
    </w:p>
    <w:p w:rsidR="008F3C3A" w:rsidRDefault="001A3ADD">
      <w:pPr>
        <w:pStyle w:val="af"/>
        <w:widowControl w:val="0"/>
        <w:numPr>
          <w:ilvl w:val="3"/>
          <w:numId w:val="2"/>
        </w:numPr>
        <w:outlineLvl w:val="4"/>
      </w:pPr>
      <w:r>
        <w:rPr>
          <w:rFonts w:hint="eastAsia"/>
        </w:rPr>
        <w:t>物理防治</w:t>
      </w:r>
    </w:p>
    <w:p w:rsidR="008F3C3A" w:rsidRDefault="001A3ADD">
      <w:pPr>
        <w:pStyle w:val="ae"/>
      </w:pPr>
      <w:r>
        <w:rPr>
          <w:rFonts w:ascii="Times New Roman" w:hint="eastAsia"/>
          <w:szCs w:val="21"/>
        </w:rPr>
        <w:t>使用杀虫灯、蓝板、性</w:t>
      </w:r>
      <w:proofErr w:type="gramStart"/>
      <w:r>
        <w:rPr>
          <w:rFonts w:ascii="Times New Roman" w:hint="eastAsia"/>
          <w:szCs w:val="21"/>
        </w:rPr>
        <w:t>诱</w:t>
      </w:r>
      <w:proofErr w:type="gramEnd"/>
      <w:r>
        <w:rPr>
          <w:rFonts w:ascii="Times New Roman" w:hint="eastAsia"/>
          <w:szCs w:val="21"/>
        </w:rPr>
        <w:t>剂等设备进行防治，主要方式如下：</w:t>
      </w:r>
    </w:p>
    <w:p w:rsidR="008F3C3A" w:rsidRDefault="001A3ADD">
      <w:pPr>
        <w:pStyle w:val="af6"/>
        <w:numPr>
          <w:ilvl w:val="0"/>
          <w:numId w:val="3"/>
        </w:numPr>
        <w:rPr>
          <w:rFonts w:ascii="Times New Roman"/>
          <w:szCs w:val="22"/>
        </w:rPr>
      </w:pPr>
      <w:r>
        <w:rPr>
          <w:rFonts w:ascii="Times New Roman" w:hint="eastAsia"/>
          <w:szCs w:val="22"/>
        </w:rPr>
        <w:t>田间安插</w:t>
      </w:r>
      <w:proofErr w:type="gramStart"/>
      <w:r>
        <w:rPr>
          <w:rFonts w:ascii="Times New Roman" w:hint="eastAsia"/>
          <w:szCs w:val="22"/>
        </w:rPr>
        <w:t>蓝板按每亩</w:t>
      </w:r>
      <w:proofErr w:type="gramEnd"/>
      <w:r>
        <w:rPr>
          <w:rFonts w:ascii="Times New Roman" w:hint="eastAsia"/>
          <w:szCs w:val="22"/>
        </w:rPr>
        <w:t>15</w:t>
      </w:r>
      <w:r>
        <w:rPr>
          <w:rFonts w:ascii="Times New Roman" w:hint="eastAsia"/>
          <w:szCs w:val="22"/>
        </w:rPr>
        <w:t>～</w:t>
      </w:r>
      <w:r>
        <w:rPr>
          <w:rFonts w:ascii="Times New Roman" w:hint="eastAsia"/>
          <w:szCs w:val="22"/>
        </w:rPr>
        <w:t xml:space="preserve">20 </w:t>
      </w:r>
      <w:r>
        <w:rPr>
          <w:rFonts w:ascii="Times New Roman" w:hint="eastAsia"/>
          <w:szCs w:val="22"/>
        </w:rPr>
        <w:t>张诱杀</w:t>
      </w:r>
      <w:proofErr w:type="gramStart"/>
      <w:r>
        <w:rPr>
          <w:rFonts w:ascii="Times New Roman" w:hint="eastAsia"/>
          <w:szCs w:val="22"/>
        </w:rPr>
        <w:t>蓟</w:t>
      </w:r>
      <w:proofErr w:type="gramEnd"/>
      <w:r>
        <w:rPr>
          <w:rFonts w:ascii="Times New Roman" w:hint="eastAsia"/>
          <w:szCs w:val="22"/>
        </w:rPr>
        <w:t>马等害虫；</w:t>
      </w:r>
    </w:p>
    <w:p w:rsidR="008F3C3A" w:rsidRDefault="001A3ADD">
      <w:pPr>
        <w:pStyle w:val="af6"/>
        <w:numPr>
          <w:ilvl w:val="0"/>
          <w:numId w:val="3"/>
        </w:numPr>
        <w:rPr>
          <w:rFonts w:ascii="Times New Roman"/>
          <w:szCs w:val="22"/>
        </w:rPr>
      </w:pPr>
      <w:r>
        <w:rPr>
          <w:rFonts w:ascii="Times New Roman" w:hint="eastAsia"/>
          <w:szCs w:val="22"/>
        </w:rPr>
        <w:t>安置太阳能杀虫灯，诱杀</w:t>
      </w:r>
      <w:proofErr w:type="gramStart"/>
      <w:r>
        <w:rPr>
          <w:rFonts w:ascii="Times New Roman" w:hint="eastAsia"/>
          <w:szCs w:val="22"/>
        </w:rPr>
        <w:t>蓟</w:t>
      </w:r>
      <w:proofErr w:type="gramEnd"/>
      <w:r>
        <w:rPr>
          <w:rFonts w:ascii="Times New Roman" w:hint="eastAsia"/>
          <w:szCs w:val="22"/>
        </w:rPr>
        <w:t>马、斜纹夜蛾等害虫；</w:t>
      </w:r>
    </w:p>
    <w:p w:rsidR="008F3C3A" w:rsidRDefault="001A3ADD">
      <w:pPr>
        <w:pStyle w:val="af6"/>
        <w:numPr>
          <w:ilvl w:val="0"/>
          <w:numId w:val="3"/>
        </w:numPr>
        <w:rPr>
          <w:rFonts w:ascii="Times New Roman"/>
          <w:szCs w:val="22"/>
        </w:rPr>
      </w:pPr>
      <w:r>
        <w:rPr>
          <w:rFonts w:ascii="Times New Roman" w:hint="eastAsia"/>
          <w:szCs w:val="22"/>
        </w:rPr>
        <w:t>安装</w:t>
      </w:r>
      <w:r>
        <w:rPr>
          <w:rFonts w:ascii="Times New Roman"/>
          <w:szCs w:val="22"/>
        </w:rPr>
        <w:t>性</w:t>
      </w:r>
      <w:proofErr w:type="gramStart"/>
      <w:r>
        <w:rPr>
          <w:rFonts w:ascii="Times New Roman"/>
          <w:szCs w:val="22"/>
        </w:rPr>
        <w:t>诱</w:t>
      </w:r>
      <w:proofErr w:type="gramEnd"/>
      <w:r>
        <w:rPr>
          <w:rFonts w:ascii="Times New Roman"/>
          <w:szCs w:val="22"/>
        </w:rPr>
        <w:t>剂按</w:t>
      </w:r>
      <w:r>
        <w:rPr>
          <w:rFonts w:ascii="Times New Roman" w:hint="eastAsia"/>
          <w:szCs w:val="22"/>
        </w:rPr>
        <w:t>每亩</w:t>
      </w:r>
      <w:r>
        <w:rPr>
          <w:rFonts w:ascii="Times New Roman" w:hint="eastAsia"/>
          <w:szCs w:val="22"/>
        </w:rPr>
        <w:t>3</w:t>
      </w:r>
      <w:r>
        <w:rPr>
          <w:rFonts w:ascii="Times New Roman" w:hint="eastAsia"/>
          <w:szCs w:val="22"/>
        </w:rPr>
        <w:t>个～</w:t>
      </w:r>
      <w:r>
        <w:rPr>
          <w:rFonts w:ascii="Times New Roman" w:hint="eastAsia"/>
          <w:szCs w:val="22"/>
        </w:rPr>
        <w:t>4</w:t>
      </w:r>
      <w:r>
        <w:rPr>
          <w:rFonts w:ascii="Times New Roman" w:hint="eastAsia"/>
          <w:szCs w:val="22"/>
        </w:rPr>
        <w:t>个诱捕甜菜夜蛾和斜纹夜蛾，若虫量较大，可适当增加</w:t>
      </w:r>
      <w:r>
        <w:rPr>
          <w:rFonts w:ascii="Times New Roman"/>
          <w:szCs w:val="22"/>
        </w:rPr>
        <w:t>性</w:t>
      </w:r>
      <w:proofErr w:type="gramStart"/>
      <w:r>
        <w:rPr>
          <w:rFonts w:ascii="Times New Roman"/>
          <w:szCs w:val="22"/>
        </w:rPr>
        <w:t>诱</w:t>
      </w:r>
      <w:proofErr w:type="gramEnd"/>
      <w:r>
        <w:rPr>
          <w:rFonts w:ascii="Times New Roman"/>
          <w:szCs w:val="22"/>
        </w:rPr>
        <w:t>剂数量</w:t>
      </w:r>
      <w:r>
        <w:rPr>
          <w:rFonts w:ascii="Times New Roman" w:hint="eastAsia"/>
          <w:szCs w:val="22"/>
        </w:rPr>
        <w:t>。</w:t>
      </w:r>
    </w:p>
    <w:p w:rsidR="008F3C3A" w:rsidRDefault="001A3ADD">
      <w:pPr>
        <w:pStyle w:val="af"/>
        <w:widowControl w:val="0"/>
        <w:numPr>
          <w:ilvl w:val="3"/>
          <w:numId w:val="2"/>
        </w:numPr>
        <w:outlineLvl w:val="4"/>
      </w:pPr>
      <w:r>
        <w:rPr>
          <w:rFonts w:hint="eastAsia"/>
        </w:rPr>
        <w:t>生物防治</w:t>
      </w:r>
    </w:p>
    <w:p w:rsidR="008F3C3A" w:rsidRDefault="001A3ADD">
      <w:pPr>
        <w:pStyle w:val="ae"/>
        <w:rPr>
          <w:rFonts w:ascii="Times New Roman"/>
          <w:szCs w:val="21"/>
        </w:rPr>
      </w:pPr>
      <w:r>
        <w:rPr>
          <w:rFonts w:hint="eastAsia"/>
        </w:rPr>
        <w:t>积极保护利用天敌，防治病虫害，主要方式如下：</w:t>
      </w:r>
    </w:p>
    <w:p w:rsidR="008F3C3A" w:rsidRDefault="001A3ADD">
      <w:pPr>
        <w:pStyle w:val="af6"/>
        <w:numPr>
          <w:ilvl w:val="0"/>
          <w:numId w:val="3"/>
        </w:numPr>
        <w:rPr>
          <w:rFonts w:ascii="Times New Roman"/>
          <w:szCs w:val="22"/>
        </w:rPr>
      </w:pPr>
      <w:bookmarkStart w:id="10" w:name="_Hlk86332588"/>
      <w:r>
        <w:rPr>
          <w:rFonts w:ascii="Times New Roman" w:hint="eastAsia"/>
          <w:szCs w:val="22"/>
        </w:rPr>
        <w:t>可利用</w:t>
      </w:r>
      <w:r>
        <w:rPr>
          <w:rFonts w:ascii="Times New Roman"/>
          <w:szCs w:val="22"/>
        </w:rPr>
        <w:t>寄生蜂、瓢虫、捕食</w:t>
      </w:r>
      <w:proofErr w:type="gramStart"/>
      <w:r>
        <w:rPr>
          <w:rFonts w:ascii="Times New Roman"/>
          <w:szCs w:val="22"/>
        </w:rPr>
        <w:t>螨</w:t>
      </w:r>
      <w:proofErr w:type="gramEnd"/>
      <w:r>
        <w:rPr>
          <w:rFonts w:ascii="Times New Roman"/>
          <w:szCs w:val="22"/>
        </w:rPr>
        <w:t>等有益生物防治芦笋害虫</w:t>
      </w:r>
      <w:r>
        <w:rPr>
          <w:rFonts w:ascii="Times New Roman" w:hint="eastAsia"/>
          <w:szCs w:val="22"/>
        </w:rPr>
        <w:t>；</w:t>
      </w:r>
    </w:p>
    <w:bookmarkEnd w:id="10"/>
    <w:p w:rsidR="008F3C3A" w:rsidRDefault="001A3ADD">
      <w:pPr>
        <w:pStyle w:val="af"/>
        <w:widowControl w:val="0"/>
        <w:numPr>
          <w:ilvl w:val="3"/>
          <w:numId w:val="2"/>
        </w:numPr>
        <w:outlineLvl w:val="4"/>
      </w:pPr>
      <w:r>
        <w:rPr>
          <w:rFonts w:hint="eastAsia"/>
        </w:rPr>
        <w:t>化学防治</w:t>
      </w:r>
    </w:p>
    <w:p w:rsidR="008F3C3A" w:rsidRDefault="001A3ADD">
      <w:pPr>
        <w:pStyle w:val="ae"/>
        <w:rPr>
          <w:rFonts w:hAnsi="宋体" w:cs="宋体"/>
          <w:szCs w:val="21"/>
        </w:rPr>
      </w:pPr>
      <w:r>
        <w:rPr>
          <w:rFonts w:hAnsi="宋体" w:cs="宋体" w:hint="eastAsia"/>
          <w:szCs w:val="21"/>
        </w:rPr>
        <w:t>农药使用应符合</w:t>
      </w:r>
      <w:r>
        <w:rPr>
          <w:rFonts w:hAnsi="宋体" w:cs="宋体"/>
          <w:szCs w:val="21"/>
        </w:rPr>
        <w:t>NY/T 393</w:t>
      </w:r>
      <w:r>
        <w:rPr>
          <w:rFonts w:hAnsi="宋体" w:cs="宋体" w:hint="eastAsia"/>
        </w:rPr>
        <w:t>的规定</w:t>
      </w:r>
      <w:r>
        <w:rPr>
          <w:rFonts w:ascii="Times New Roman" w:hint="eastAsia"/>
          <w:szCs w:val="22"/>
        </w:rPr>
        <w:t>。</w:t>
      </w:r>
      <w:r>
        <w:rPr>
          <w:rFonts w:hAnsi="宋体" w:cs="宋体" w:hint="eastAsia"/>
          <w:szCs w:val="21"/>
        </w:rPr>
        <w:t>防治方法参见附录</w:t>
      </w:r>
      <w:r>
        <w:rPr>
          <w:rFonts w:hAnsi="宋体" w:cs="宋体"/>
          <w:szCs w:val="21"/>
        </w:rPr>
        <w:t>A</w:t>
      </w:r>
      <w:r>
        <w:rPr>
          <w:rFonts w:hAnsi="宋体" w:cs="宋体" w:hint="eastAsia"/>
          <w:szCs w:val="21"/>
        </w:rPr>
        <w:t>。</w:t>
      </w:r>
    </w:p>
    <w:p w:rsidR="008F3C3A" w:rsidRDefault="001A3ADD">
      <w:pPr>
        <w:pStyle w:val="af"/>
        <w:widowControl w:val="0"/>
        <w:numPr>
          <w:ilvl w:val="1"/>
          <w:numId w:val="2"/>
        </w:numPr>
      </w:pPr>
      <w:r>
        <w:rPr>
          <w:rFonts w:hAnsi="黑体" w:cs="黑体" w:hint="eastAsia"/>
        </w:rPr>
        <w:t>其他管理措施</w:t>
      </w:r>
    </w:p>
    <w:p w:rsidR="008F3C3A" w:rsidRDefault="001A3ADD">
      <w:pPr>
        <w:pStyle w:val="af"/>
        <w:widowControl w:val="0"/>
        <w:numPr>
          <w:ilvl w:val="2"/>
          <w:numId w:val="2"/>
        </w:numPr>
        <w:ind w:left="0"/>
        <w:outlineLvl w:val="3"/>
      </w:pPr>
      <w:r>
        <w:rPr>
          <w:rFonts w:hint="eastAsia"/>
        </w:rPr>
        <w:t>中耕覆土</w:t>
      </w:r>
    </w:p>
    <w:p w:rsidR="008F3C3A" w:rsidRDefault="001A3ADD">
      <w:pPr>
        <w:pStyle w:val="ae"/>
      </w:pPr>
      <w:r>
        <w:rPr>
          <w:rFonts w:hint="eastAsia"/>
        </w:rPr>
        <w:t>结合追肥中耕除草，保持土壤疏松。中耕时应避免伤及地下嫩茎和根系，适量覆土。</w:t>
      </w:r>
    </w:p>
    <w:p w:rsidR="008F3C3A" w:rsidRDefault="001A3ADD">
      <w:pPr>
        <w:pStyle w:val="af"/>
        <w:widowControl w:val="0"/>
        <w:numPr>
          <w:ilvl w:val="2"/>
          <w:numId w:val="2"/>
        </w:numPr>
        <w:ind w:left="0"/>
        <w:outlineLvl w:val="3"/>
      </w:pPr>
      <w:r>
        <w:rPr>
          <w:rFonts w:hint="eastAsia"/>
        </w:rPr>
        <w:lastRenderedPageBreak/>
        <w:t>选留母茎</w:t>
      </w:r>
    </w:p>
    <w:p w:rsidR="008F3C3A" w:rsidRDefault="001A3ADD">
      <w:pPr>
        <w:pStyle w:val="af5"/>
        <w:numPr>
          <w:ilvl w:val="3"/>
          <w:numId w:val="2"/>
        </w:numPr>
        <w:tabs>
          <w:tab w:val="clear" w:pos="0"/>
        </w:tabs>
        <w:outlineLvl w:val="4"/>
        <w:rPr>
          <w:szCs w:val="22"/>
        </w:rPr>
      </w:pPr>
      <w:r>
        <w:rPr>
          <w:rFonts w:hint="eastAsia"/>
          <w:szCs w:val="22"/>
        </w:rPr>
        <w:t>当年定植芦笋，拔除病株、弱株，保留健壮茎留养母茎；</w:t>
      </w:r>
    </w:p>
    <w:p w:rsidR="008F3C3A" w:rsidRDefault="001A3ADD">
      <w:pPr>
        <w:pStyle w:val="af5"/>
        <w:numPr>
          <w:ilvl w:val="3"/>
          <w:numId w:val="2"/>
        </w:numPr>
        <w:tabs>
          <w:tab w:val="clear" w:pos="0"/>
        </w:tabs>
        <w:outlineLvl w:val="4"/>
        <w:rPr>
          <w:szCs w:val="22"/>
        </w:rPr>
      </w:pPr>
      <w:r>
        <w:rPr>
          <w:rFonts w:hint="eastAsia"/>
          <w:szCs w:val="22"/>
        </w:rPr>
        <w:t>2年以上芦笋，春季每</w:t>
      </w:r>
      <w:proofErr w:type="gramStart"/>
      <w:r>
        <w:rPr>
          <w:rFonts w:hint="eastAsia"/>
          <w:szCs w:val="22"/>
        </w:rPr>
        <w:t>穴选择</w:t>
      </w:r>
      <w:proofErr w:type="gramEnd"/>
      <w:r>
        <w:rPr>
          <w:rFonts w:hint="eastAsia"/>
          <w:szCs w:val="22"/>
        </w:rPr>
        <w:t>3～4根健壮</w:t>
      </w:r>
      <w:proofErr w:type="gramStart"/>
      <w:r>
        <w:rPr>
          <w:rFonts w:hint="eastAsia"/>
          <w:szCs w:val="22"/>
        </w:rPr>
        <w:t>茎</w:t>
      </w:r>
      <w:proofErr w:type="gramEnd"/>
      <w:r>
        <w:rPr>
          <w:rFonts w:hint="eastAsia"/>
          <w:szCs w:val="22"/>
        </w:rPr>
        <w:t>留养春季母茎，夏秋季</w:t>
      </w:r>
      <w:proofErr w:type="gramStart"/>
      <w:r>
        <w:rPr>
          <w:rFonts w:hint="eastAsia"/>
          <w:szCs w:val="22"/>
        </w:rPr>
        <w:t>在清园后</w:t>
      </w:r>
      <w:proofErr w:type="gramEnd"/>
      <w:r>
        <w:rPr>
          <w:rFonts w:hint="eastAsia"/>
          <w:szCs w:val="22"/>
        </w:rPr>
        <w:t>新出笋中，每</w:t>
      </w:r>
      <w:proofErr w:type="gramStart"/>
      <w:r>
        <w:rPr>
          <w:rFonts w:hint="eastAsia"/>
          <w:szCs w:val="22"/>
        </w:rPr>
        <w:t>穴选择</w:t>
      </w:r>
      <w:proofErr w:type="gramEnd"/>
      <w:r>
        <w:rPr>
          <w:rFonts w:hint="eastAsia"/>
          <w:szCs w:val="22"/>
        </w:rPr>
        <w:t>5～6根健壮</w:t>
      </w:r>
      <w:proofErr w:type="gramStart"/>
      <w:r>
        <w:rPr>
          <w:rFonts w:hint="eastAsia"/>
          <w:szCs w:val="22"/>
        </w:rPr>
        <w:t>茎</w:t>
      </w:r>
      <w:proofErr w:type="gramEnd"/>
      <w:r>
        <w:rPr>
          <w:rFonts w:hint="eastAsia"/>
          <w:szCs w:val="22"/>
        </w:rPr>
        <w:t>留养秋季母茎。</w:t>
      </w:r>
    </w:p>
    <w:p w:rsidR="008F3C3A" w:rsidRDefault="001A3ADD">
      <w:pPr>
        <w:pStyle w:val="af"/>
        <w:widowControl w:val="0"/>
        <w:numPr>
          <w:ilvl w:val="2"/>
          <w:numId w:val="2"/>
        </w:numPr>
        <w:ind w:left="0"/>
        <w:outlineLvl w:val="3"/>
      </w:pPr>
      <w:r>
        <w:rPr>
          <w:rFonts w:hint="eastAsia"/>
        </w:rPr>
        <w:t>植株管理</w:t>
      </w:r>
    </w:p>
    <w:p w:rsidR="008F3C3A" w:rsidRDefault="001A3ADD">
      <w:pPr>
        <w:pStyle w:val="af5"/>
        <w:numPr>
          <w:ilvl w:val="3"/>
          <w:numId w:val="2"/>
        </w:numPr>
        <w:tabs>
          <w:tab w:val="clear" w:pos="0"/>
        </w:tabs>
        <w:outlineLvl w:val="4"/>
        <w:rPr>
          <w:szCs w:val="22"/>
        </w:rPr>
      </w:pPr>
      <w:r>
        <w:rPr>
          <w:rFonts w:hint="eastAsia"/>
          <w:szCs w:val="22"/>
        </w:rPr>
        <w:t>植株高度达1.5 m</w:t>
      </w:r>
      <w:r>
        <w:rPr>
          <w:szCs w:val="22"/>
        </w:rPr>
        <w:t>时，及时打顶，防止徒长，以利通风。并在芦笋种植行两</w:t>
      </w:r>
      <w:r>
        <w:rPr>
          <w:rFonts w:hint="eastAsia"/>
          <w:szCs w:val="22"/>
        </w:rPr>
        <w:t>端</w:t>
      </w:r>
      <w:r>
        <w:rPr>
          <w:szCs w:val="22"/>
        </w:rPr>
        <w:t>打桩拉绳以防止倒伏。</w:t>
      </w:r>
    </w:p>
    <w:p w:rsidR="008F3C3A" w:rsidRDefault="001A3ADD">
      <w:pPr>
        <w:pStyle w:val="af5"/>
        <w:numPr>
          <w:ilvl w:val="3"/>
          <w:numId w:val="2"/>
        </w:numPr>
        <w:tabs>
          <w:tab w:val="clear" w:pos="0"/>
        </w:tabs>
        <w:outlineLvl w:val="4"/>
        <w:rPr>
          <w:szCs w:val="22"/>
        </w:rPr>
      </w:pPr>
      <w:r>
        <w:rPr>
          <w:rFonts w:hint="eastAsia"/>
          <w:szCs w:val="22"/>
        </w:rPr>
        <w:t>种植期间应</w:t>
      </w:r>
      <w:r>
        <w:rPr>
          <w:szCs w:val="22"/>
        </w:rPr>
        <w:t>及时清理田间病残枝叶，</w:t>
      </w:r>
      <w:r>
        <w:rPr>
          <w:rFonts w:hint="eastAsia"/>
          <w:szCs w:val="22"/>
        </w:rPr>
        <w:t>减轻</w:t>
      </w:r>
      <w:r>
        <w:rPr>
          <w:szCs w:val="22"/>
        </w:rPr>
        <w:t>病虫害发生。</w:t>
      </w:r>
    </w:p>
    <w:p w:rsidR="008F3C3A" w:rsidRDefault="001A3ADD">
      <w:pPr>
        <w:pStyle w:val="af5"/>
        <w:numPr>
          <w:ilvl w:val="3"/>
          <w:numId w:val="2"/>
        </w:numPr>
        <w:tabs>
          <w:tab w:val="clear" w:pos="0"/>
        </w:tabs>
        <w:outlineLvl w:val="4"/>
        <w:rPr>
          <w:szCs w:val="22"/>
        </w:rPr>
      </w:pPr>
      <w:r>
        <w:rPr>
          <w:szCs w:val="22"/>
        </w:rPr>
        <w:t>夏秋季</w:t>
      </w:r>
      <w:r>
        <w:rPr>
          <w:rFonts w:hint="eastAsia"/>
          <w:szCs w:val="22"/>
        </w:rPr>
        <w:t>、冬季地上部枯黄后</w:t>
      </w:r>
      <w:proofErr w:type="gramStart"/>
      <w:r>
        <w:rPr>
          <w:szCs w:val="22"/>
        </w:rPr>
        <w:t>进行清园工作</w:t>
      </w:r>
      <w:proofErr w:type="gramEnd"/>
      <w:r>
        <w:rPr>
          <w:szCs w:val="22"/>
        </w:rPr>
        <w:t>，将地上部的母茎、枯枝落叶、杂草等全部清除并集中处理。</w:t>
      </w:r>
    </w:p>
    <w:p w:rsidR="008F3C3A" w:rsidRDefault="001A3ADD">
      <w:pPr>
        <w:pStyle w:val="af1"/>
        <w:numPr>
          <w:ilvl w:val="0"/>
          <w:numId w:val="2"/>
        </w:numPr>
      </w:pPr>
      <w:r>
        <w:rPr>
          <w:rFonts w:hint="eastAsia"/>
        </w:rPr>
        <w:t>采收</w:t>
      </w:r>
    </w:p>
    <w:p w:rsidR="008F3C3A" w:rsidRDefault="001A3ADD">
      <w:pPr>
        <w:pStyle w:val="ae"/>
      </w:pPr>
      <w:r>
        <w:rPr>
          <w:rFonts w:hint="eastAsia"/>
        </w:rPr>
        <w:t>定植后第2年起，留足母茎后，嫩茎在出土20</w:t>
      </w:r>
      <w:r>
        <w:t xml:space="preserve"> </w:t>
      </w:r>
      <w:r>
        <w:rPr>
          <w:rFonts w:hint="eastAsia"/>
        </w:rPr>
        <w:t>cm～30 cm时采收，用采笋刀插入</w:t>
      </w:r>
      <w:proofErr w:type="gramStart"/>
      <w:r>
        <w:rPr>
          <w:rFonts w:hint="eastAsia"/>
        </w:rPr>
        <w:t>垄</w:t>
      </w:r>
      <w:proofErr w:type="gramEnd"/>
      <w:r>
        <w:rPr>
          <w:rFonts w:hint="eastAsia"/>
        </w:rPr>
        <w:t>台下1 cm～2 cm深处采笋。</w:t>
      </w:r>
    </w:p>
    <w:p w:rsidR="008F3C3A" w:rsidRDefault="001A3ADD">
      <w:pPr>
        <w:pStyle w:val="af1"/>
        <w:numPr>
          <w:ilvl w:val="0"/>
          <w:numId w:val="2"/>
        </w:numPr>
      </w:pPr>
      <w:r>
        <w:rPr>
          <w:rFonts w:hint="eastAsia"/>
        </w:rPr>
        <w:t>生产废弃物的处理</w:t>
      </w:r>
    </w:p>
    <w:p w:rsidR="008F3C3A" w:rsidRDefault="001A3ADD">
      <w:pPr>
        <w:pStyle w:val="ae"/>
        <w:rPr>
          <w:rFonts w:ascii="Times New Roman"/>
          <w:szCs w:val="22"/>
        </w:rPr>
      </w:pPr>
      <w:r>
        <w:rPr>
          <w:rFonts w:ascii="Times New Roman" w:hint="eastAsia"/>
          <w:szCs w:val="22"/>
        </w:rPr>
        <w:t>芦笋生产中产生的主要废弃物处理要求如下：</w:t>
      </w:r>
    </w:p>
    <w:p w:rsidR="008F3C3A" w:rsidRDefault="001A3ADD">
      <w:pPr>
        <w:pStyle w:val="af6"/>
        <w:numPr>
          <w:ilvl w:val="0"/>
          <w:numId w:val="3"/>
        </w:numPr>
      </w:pPr>
      <w:r>
        <w:rPr>
          <w:rFonts w:ascii="Times New Roman" w:hint="eastAsia"/>
          <w:szCs w:val="22"/>
        </w:rPr>
        <w:t>使用后的农药包装袋（瓶）、农膜</w:t>
      </w:r>
      <w:proofErr w:type="gramStart"/>
      <w:r>
        <w:rPr>
          <w:rFonts w:ascii="Times New Roman" w:hint="eastAsia"/>
          <w:szCs w:val="22"/>
        </w:rPr>
        <w:t>和架材</w:t>
      </w:r>
      <w:proofErr w:type="gramEnd"/>
      <w:r>
        <w:rPr>
          <w:rFonts w:ascii="Times New Roman" w:hint="eastAsia"/>
          <w:szCs w:val="22"/>
        </w:rPr>
        <w:t>等，应及时进行无害化处理，集中回收再生加工利用，不可随处堆放；</w:t>
      </w:r>
    </w:p>
    <w:p w:rsidR="008F3C3A" w:rsidRDefault="001A3ADD">
      <w:pPr>
        <w:pStyle w:val="af6"/>
        <w:numPr>
          <w:ilvl w:val="0"/>
          <w:numId w:val="3"/>
        </w:numPr>
      </w:pPr>
      <w:r>
        <w:rPr>
          <w:rFonts w:ascii="Times New Roman" w:hint="eastAsia"/>
          <w:szCs w:val="22"/>
        </w:rPr>
        <w:t>植株残体可集中堆沤充分发酵后作为有机肥回田，增加土壤的有机质，也可回收作深加工原料</w:t>
      </w:r>
    </w:p>
    <w:p w:rsidR="008F3C3A" w:rsidRDefault="001A3ADD">
      <w:pPr>
        <w:pStyle w:val="af1"/>
        <w:numPr>
          <w:ilvl w:val="0"/>
          <w:numId w:val="2"/>
        </w:numPr>
      </w:pPr>
      <w:bookmarkStart w:id="11" w:name="_Hlk89243210"/>
      <w:bookmarkStart w:id="12" w:name="_Hlk89243188"/>
      <w:r>
        <w:rPr>
          <w:rFonts w:hint="eastAsia"/>
        </w:rPr>
        <w:t>包装运输储藏</w:t>
      </w:r>
      <w:bookmarkEnd w:id="11"/>
    </w:p>
    <w:bookmarkEnd w:id="12"/>
    <w:p w:rsidR="008F3C3A" w:rsidRDefault="001A3ADD">
      <w:pPr>
        <w:pStyle w:val="af"/>
        <w:numPr>
          <w:ilvl w:val="1"/>
          <w:numId w:val="2"/>
        </w:numPr>
        <w:spacing w:beforeLines="0" w:before="0" w:afterLines="0" w:after="0"/>
        <w:rPr>
          <w:rFonts w:ascii="宋体" w:eastAsia="宋体" w:hAnsi="宋体"/>
        </w:rPr>
      </w:pPr>
      <w:r>
        <w:rPr>
          <w:rFonts w:ascii="宋体" w:eastAsia="宋体" w:hAnsi="宋体" w:hint="eastAsia"/>
        </w:rPr>
        <w:t>应符合NY/T 658和</w:t>
      </w:r>
      <w:r>
        <w:rPr>
          <w:rFonts w:ascii="宋体" w:eastAsia="宋体" w:hAnsi="宋体"/>
        </w:rPr>
        <w:t>NY/T1056</w:t>
      </w:r>
      <w:r>
        <w:rPr>
          <w:rFonts w:ascii="宋体" w:eastAsia="宋体" w:hAnsi="宋体" w:hint="eastAsia"/>
        </w:rPr>
        <w:t>的要求。</w:t>
      </w:r>
    </w:p>
    <w:p w:rsidR="008F3C3A" w:rsidRDefault="001A3ADD">
      <w:pPr>
        <w:pStyle w:val="af"/>
        <w:numPr>
          <w:ilvl w:val="1"/>
          <w:numId w:val="2"/>
        </w:numPr>
        <w:spacing w:beforeLines="0" w:before="0" w:afterLines="0" w:after="0"/>
        <w:rPr>
          <w:rFonts w:ascii="宋体" w:eastAsia="宋体" w:hAnsi="宋体"/>
        </w:rPr>
      </w:pPr>
      <w:r>
        <w:rPr>
          <w:rFonts w:ascii="宋体" w:eastAsia="宋体" w:hAnsi="宋体" w:hint="eastAsia"/>
        </w:rPr>
        <w:t>用于储藏的芦笋应新鲜、完好、洁净、无畸形、无损坏和病虫害瘢痕,笋尖或顶部紧实。储藏温度宜为1℃～2℃，相对湿度宜保持在90%～95%，储藏期不宜超过2</w:t>
      </w:r>
      <w:r>
        <w:rPr>
          <w:rFonts w:ascii="宋体" w:eastAsia="宋体" w:hAnsi="宋体"/>
        </w:rPr>
        <w:t>0d</w:t>
      </w:r>
      <w:r>
        <w:rPr>
          <w:rFonts w:ascii="宋体" w:eastAsia="宋体" w:hAnsi="宋体" w:hint="eastAsia"/>
        </w:rPr>
        <w:t>。</w:t>
      </w:r>
    </w:p>
    <w:p w:rsidR="008F3C3A" w:rsidRDefault="001A3ADD">
      <w:pPr>
        <w:pStyle w:val="af1"/>
        <w:numPr>
          <w:ilvl w:val="0"/>
          <w:numId w:val="2"/>
        </w:numPr>
      </w:pPr>
      <w:r>
        <w:rPr>
          <w:rFonts w:hint="eastAsia"/>
        </w:rPr>
        <w:t>生产档案管理</w:t>
      </w:r>
    </w:p>
    <w:p w:rsidR="008F3C3A" w:rsidRDefault="001A3ADD">
      <w:pPr>
        <w:pStyle w:val="ae"/>
      </w:pPr>
      <w:r>
        <w:rPr>
          <w:rFonts w:hint="eastAsia"/>
        </w:rPr>
        <w:t>建立芦笋生产档案。应详细记录产地环境条件、生产技术、肥水管理、病虫害的发生和防治措施、采收及采后处理等情况，并保存记录3年以上。</w:t>
      </w:r>
    </w:p>
    <w:p w:rsidR="008F3C3A" w:rsidRDefault="008F3C3A">
      <w:pPr>
        <w:spacing w:line="400" w:lineRule="atLeast"/>
        <w:ind w:firstLineChars="200" w:firstLine="420"/>
        <w:contextualSpacing/>
        <w:rPr>
          <w:rFonts w:ascii="宋体" w:hAnsi="宋体" w:cs="宋体"/>
          <w:szCs w:val="21"/>
        </w:rPr>
      </w:pPr>
    </w:p>
    <w:p w:rsidR="00B950BE" w:rsidRDefault="00B950BE">
      <w:pPr>
        <w:spacing w:line="400" w:lineRule="atLeast"/>
        <w:ind w:firstLineChars="200" w:firstLine="420"/>
        <w:contextualSpacing/>
        <w:rPr>
          <w:rFonts w:ascii="宋体" w:hAnsi="宋体" w:cs="宋体"/>
          <w:szCs w:val="21"/>
        </w:rPr>
      </w:pPr>
    </w:p>
    <w:p w:rsidR="00B950BE" w:rsidRDefault="00B950BE">
      <w:pPr>
        <w:spacing w:line="400" w:lineRule="atLeast"/>
        <w:ind w:firstLineChars="200" w:firstLine="420"/>
        <w:contextualSpacing/>
        <w:rPr>
          <w:rFonts w:ascii="宋体" w:hAnsi="宋体" w:cs="宋体"/>
          <w:szCs w:val="21"/>
        </w:rPr>
      </w:pPr>
    </w:p>
    <w:p w:rsidR="00B950BE" w:rsidRDefault="00B950BE">
      <w:pPr>
        <w:spacing w:line="400" w:lineRule="atLeast"/>
        <w:ind w:firstLineChars="200" w:firstLine="420"/>
        <w:contextualSpacing/>
        <w:rPr>
          <w:rFonts w:ascii="宋体" w:hAnsi="宋体" w:cs="宋体"/>
          <w:szCs w:val="21"/>
        </w:rPr>
      </w:pPr>
    </w:p>
    <w:p w:rsidR="00B950BE" w:rsidRDefault="00B950BE">
      <w:pPr>
        <w:spacing w:line="400" w:lineRule="atLeast"/>
        <w:ind w:firstLineChars="200" w:firstLine="420"/>
        <w:contextualSpacing/>
        <w:rPr>
          <w:rFonts w:ascii="宋体" w:hAnsi="宋体" w:cs="宋体"/>
          <w:szCs w:val="21"/>
        </w:rPr>
      </w:pPr>
    </w:p>
    <w:p w:rsidR="00B950BE" w:rsidRDefault="00B950BE">
      <w:pPr>
        <w:spacing w:line="400" w:lineRule="atLeast"/>
        <w:ind w:firstLineChars="200" w:firstLine="420"/>
        <w:contextualSpacing/>
        <w:rPr>
          <w:rFonts w:ascii="宋体" w:hAnsi="宋体" w:cs="宋体"/>
          <w:szCs w:val="21"/>
        </w:rPr>
      </w:pPr>
    </w:p>
    <w:p w:rsidR="008F3C3A" w:rsidRDefault="008F3C3A">
      <w:pPr>
        <w:widowControl/>
        <w:jc w:val="left"/>
        <w:rPr>
          <w:rFonts w:ascii="黑体" w:eastAsia="黑体" w:hAnsi="Times New Roman" w:cs="Times New Roman"/>
          <w:kern w:val="0"/>
          <w:szCs w:val="21"/>
        </w:rPr>
      </w:pPr>
    </w:p>
    <w:p w:rsidR="008F3C3A" w:rsidRDefault="001A3ADD">
      <w:pPr>
        <w:spacing w:line="400" w:lineRule="atLeast"/>
        <w:ind w:firstLineChars="200" w:firstLine="420"/>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lastRenderedPageBreak/>
        <w:t xml:space="preserve">附 </w:t>
      </w:r>
      <w:r>
        <w:rPr>
          <w:rFonts w:ascii="黑体" w:eastAsia="黑体" w:hAnsi="Times New Roman" w:cs="Times New Roman"/>
          <w:kern w:val="0"/>
          <w:szCs w:val="21"/>
        </w:rPr>
        <w:t xml:space="preserve"> </w:t>
      </w:r>
      <w:r>
        <w:rPr>
          <w:rFonts w:ascii="黑体" w:eastAsia="黑体" w:hAnsi="Times New Roman" w:cs="Times New Roman" w:hint="eastAsia"/>
          <w:kern w:val="0"/>
          <w:szCs w:val="21"/>
        </w:rPr>
        <w:t xml:space="preserve">录 </w:t>
      </w:r>
      <w:r>
        <w:rPr>
          <w:rFonts w:ascii="黑体" w:eastAsia="黑体" w:hAnsi="Times New Roman" w:cs="Times New Roman"/>
          <w:kern w:val="0"/>
          <w:szCs w:val="21"/>
        </w:rPr>
        <w:t xml:space="preserve"> </w:t>
      </w:r>
      <w:r>
        <w:rPr>
          <w:rFonts w:ascii="黑体" w:eastAsia="黑体" w:hAnsi="Times New Roman" w:cs="Times New Roman" w:hint="eastAsia"/>
          <w:kern w:val="0"/>
          <w:szCs w:val="21"/>
        </w:rPr>
        <w:t>A</w:t>
      </w:r>
    </w:p>
    <w:p w:rsidR="008F3C3A" w:rsidRDefault="001A3ADD">
      <w:pPr>
        <w:spacing w:line="400" w:lineRule="atLeast"/>
        <w:ind w:firstLineChars="200" w:firstLine="420"/>
        <w:contextualSpacing/>
        <w:jc w:val="center"/>
        <w:rPr>
          <w:rFonts w:ascii="黑体" w:eastAsia="黑体" w:hAnsi="Times New Roman" w:cs="Times New Roman"/>
          <w:kern w:val="0"/>
          <w:szCs w:val="21"/>
        </w:rPr>
      </w:pPr>
      <w:r>
        <w:rPr>
          <w:rFonts w:ascii="黑体" w:eastAsia="黑体" w:hAnsi="Times New Roman" w:cs="Times New Roman" w:hint="eastAsia"/>
          <w:kern w:val="0"/>
          <w:szCs w:val="21"/>
        </w:rPr>
        <w:t>（资料性附录）</w:t>
      </w:r>
    </w:p>
    <w:p w:rsidR="008F3C3A" w:rsidRDefault="001A3ADD">
      <w:pPr>
        <w:snapToGrid w:val="0"/>
        <w:spacing w:beforeLines="50" w:before="156" w:afterLines="50" w:after="156"/>
        <w:ind w:firstLineChars="200" w:firstLine="420"/>
        <w:rPr>
          <w:rFonts w:ascii="黑体" w:eastAsia="黑体" w:hAnsi="Times New Roman" w:cs="Times New Roman"/>
          <w:kern w:val="0"/>
          <w:szCs w:val="21"/>
        </w:rPr>
      </w:pPr>
      <w:r>
        <w:rPr>
          <w:rFonts w:ascii="黑体" w:eastAsia="黑体" w:hAnsi="Times New Roman" w:cs="Times New Roman" w:hint="eastAsia"/>
          <w:kern w:val="0"/>
          <w:szCs w:val="21"/>
        </w:rPr>
        <w:t>表A.</w:t>
      </w:r>
      <w:r>
        <w:rPr>
          <w:rFonts w:ascii="黑体" w:eastAsia="黑体" w:hAnsi="Times New Roman" w:cs="Times New Roman"/>
          <w:kern w:val="0"/>
          <w:szCs w:val="21"/>
        </w:rPr>
        <w:t xml:space="preserve">1 </w:t>
      </w:r>
      <w:r>
        <w:rPr>
          <w:rFonts w:ascii="黑体" w:eastAsia="黑体" w:hAnsi="Times New Roman" w:cs="Times New Roman" w:hint="eastAsia"/>
          <w:kern w:val="0"/>
          <w:szCs w:val="21"/>
        </w:rPr>
        <w:t>长江流域湿作区绿色食品芦笋生产主要病虫草害防治推荐农药使用方案</w:t>
      </w:r>
    </w:p>
    <w:tbl>
      <w:tblPr>
        <w:tblpPr w:leftFromText="180" w:rightFromText="180" w:vertAnchor="text" w:tblpXSpec="center" w:tblpY="1"/>
        <w:tblOverlap w:val="never"/>
        <w:tblW w:w="9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5"/>
        <w:gridCol w:w="1093"/>
        <w:gridCol w:w="2554"/>
        <w:gridCol w:w="1669"/>
        <w:gridCol w:w="1286"/>
        <w:gridCol w:w="1329"/>
      </w:tblGrid>
      <w:tr w:rsidR="008F3C3A">
        <w:trPr>
          <w:trHeight w:val="557"/>
        </w:trPr>
        <w:tc>
          <w:tcPr>
            <w:tcW w:w="1245"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防治对象</w:t>
            </w:r>
          </w:p>
        </w:tc>
        <w:tc>
          <w:tcPr>
            <w:tcW w:w="1093"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防治时期</w:t>
            </w:r>
          </w:p>
        </w:tc>
        <w:tc>
          <w:tcPr>
            <w:tcW w:w="2554"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农药名称</w:t>
            </w:r>
          </w:p>
        </w:tc>
        <w:tc>
          <w:tcPr>
            <w:tcW w:w="1669"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使用量</w:t>
            </w:r>
          </w:p>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（每亩）</w:t>
            </w:r>
          </w:p>
        </w:tc>
        <w:tc>
          <w:tcPr>
            <w:tcW w:w="1286"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使用方法</w:t>
            </w:r>
          </w:p>
        </w:tc>
        <w:tc>
          <w:tcPr>
            <w:tcW w:w="1329"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安全间隔期（天）</w:t>
            </w:r>
          </w:p>
        </w:tc>
      </w:tr>
      <w:tr w:rsidR="008F3C3A">
        <w:trPr>
          <w:trHeight w:val="549"/>
        </w:trPr>
        <w:tc>
          <w:tcPr>
            <w:tcW w:w="1245" w:type="dxa"/>
            <w:vMerge w:val="restart"/>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kern w:val="0"/>
                <w:sz w:val="18"/>
                <w:szCs w:val="18"/>
              </w:rPr>
              <w:t>茎枯病</w:t>
            </w:r>
          </w:p>
        </w:tc>
        <w:tc>
          <w:tcPr>
            <w:tcW w:w="1093" w:type="dxa"/>
            <w:vMerge w:val="restart"/>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发生前或发病初期</w:t>
            </w:r>
          </w:p>
        </w:tc>
        <w:tc>
          <w:tcPr>
            <w:tcW w:w="2554" w:type="dxa"/>
            <w:vAlign w:val="center"/>
          </w:tcPr>
          <w:p w:rsidR="008F3C3A" w:rsidRDefault="001A3ADD">
            <w:pPr>
              <w:adjustRightInd w:val="0"/>
              <w:snapToGrid w:val="0"/>
              <w:jc w:val="center"/>
              <w:rPr>
                <w:rFonts w:asciiTheme="minorEastAsia" w:hAnsiTheme="minorEastAsia"/>
                <w:kern w:val="0"/>
                <w:sz w:val="18"/>
                <w:szCs w:val="18"/>
              </w:rPr>
            </w:pPr>
            <w:r>
              <w:rPr>
                <w:rFonts w:asciiTheme="minorEastAsia" w:hAnsiTheme="minorEastAsia"/>
                <w:kern w:val="0"/>
                <w:sz w:val="18"/>
                <w:szCs w:val="18"/>
              </w:rPr>
              <w:t>2%氨基寡糖素</w:t>
            </w:r>
          </w:p>
        </w:tc>
        <w:tc>
          <w:tcPr>
            <w:tcW w:w="1669" w:type="dxa"/>
            <w:vAlign w:val="center"/>
          </w:tcPr>
          <w:p w:rsidR="008F3C3A" w:rsidRDefault="001A3ADD">
            <w:pPr>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75-100毫升/亩</w:t>
            </w:r>
          </w:p>
        </w:tc>
        <w:tc>
          <w:tcPr>
            <w:tcW w:w="1286" w:type="dxa"/>
            <w:vAlign w:val="center"/>
          </w:tcPr>
          <w:p w:rsidR="008F3C3A" w:rsidRDefault="001A3ADD">
            <w:pPr>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喷雾</w:t>
            </w:r>
          </w:p>
        </w:tc>
        <w:tc>
          <w:tcPr>
            <w:tcW w:w="1329" w:type="dxa"/>
            <w:vAlign w:val="center"/>
          </w:tcPr>
          <w:p w:rsidR="008F3C3A" w:rsidRDefault="001A3ADD">
            <w:pPr>
              <w:adjustRightInd w:val="0"/>
              <w:snapToGrid w:val="0"/>
              <w:jc w:val="center"/>
              <w:rPr>
                <w:rFonts w:asciiTheme="minorEastAsia" w:hAnsiTheme="minorEastAsia"/>
                <w:kern w:val="0"/>
                <w:sz w:val="18"/>
                <w:szCs w:val="18"/>
              </w:rPr>
            </w:pPr>
            <w:r>
              <w:rPr>
                <w:rFonts w:asciiTheme="minorEastAsia" w:hAnsiTheme="minorEastAsia"/>
                <w:kern w:val="0"/>
                <w:sz w:val="18"/>
                <w:szCs w:val="18"/>
              </w:rPr>
              <w:t>/</w:t>
            </w:r>
          </w:p>
        </w:tc>
      </w:tr>
      <w:tr w:rsidR="008F3C3A">
        <w:trPr>
          <w:trHeight w:val="549"/>
        </w:trPr>
        <w:tc>
          <w:tcPr>
            <w:tcW w:w="1245" w:type="dxa"/>
            <w:vMerge/>
            <w:vAlign w:val="center"/>
          </w:tcPr>
          <w:p w:rsidR="008F3C3A" w:rsidRDefault="008F3C3A">
            <w:pPr>
              <w:widowControl/>
              <w:adjustRightInd w:val="0"/>
              <w:snapToGrid w:val="0"/>
              <w:jc w:val="center"/>
              <w:rPr>
                <w:rFonts w:asciiTheme="minorEastAsia" w:hAnsiTheme="minorEastAsia"/>
                <w:kern w:val="0"/>
                <w:sz w:val="18"/>
                <w:szCs w:val="18"/>
              </w:rPr>
            </w:pPr>
          </w:p>
        </w:tc>
        <w:tc>
          <w:tcPr>
            <w:tcW w:w="1093" w:type="dxa"/>
            <w:vMerge/>
            <w:vAlign w:val="center"/>
          </w:tcPr>
          <w:p w:rsidR="008F3C3A" w:rsidRDefault="008F3C3A">
            <w:pPr>
              <w:widowControl/>
              <w:adjustRightInd w:val="0"/>
              <w:snapToGrid w:val="0"/>
              <w:jc w:val="center"/>
              <w:rPr>
                <w:rFonts w:asciiTheme="minorEastAsia" w:hAnsiTheme="minorEastAsia"/>
                <w:kern w:val="0"/>
                <w:sz w:val="18"/>
                <w:szCs w:val="18"/>
              </w:rPr>
            </w:pPr>
          </w:p>
        </w:tc>
        <w:tc>
          <w:tcPr>
            <w:tcW w:w="2554" w:type="dxa"/>
            <w:vAlign w:val="center"/>
          </w:tcPr>
          <w:p w:rsidR="008F3C3A" w:rsidRDefault="001A3ADD">
            <w:pPr>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50%硫磺悬浮剂</w:t>
            </w:r>
          </w:p>
        </w:tc>
        <w:tc>
          <w:tcPr>
            <w:tcW w:w="1669" w:type="dxa"/>
            <w:vAlign w:val="center"/>
          </w:tcPr>
          <w:p w:rsidR="008F3C3A" w:rsidRDefault="001A3ADD">
            <w:pPr>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116-156克/亩</w:t>
            </w:r>
          </w:p>
        </w:tc>
        <w:tc>
          <w:tcPr>
            <w:tcW w:w="1286" w:type="dxa"/>
            <w:vAlign w:val="center"/>
          </w:tcPr>
          <w:p w:rsidR="008F3C3A" w:rsidRDefault="001A3ADD">
            <w:pPr>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喷雾</w:t>
            </w:r>
          </w:p>
        </w:tc>
        <w:tc>
          <w:tcPr>
            <w:tcW w:w="1329" w:type="dxa"/>
            <w:vAlign w:val="center"/>
          </w:tcPr>
          <w:p w:rsidR="008F3C3A" w:rsidRDefault="001A3ADD">
            <w:pPr>
              <w:adjustRightInd w:val="0"/>
              <w:snapToGrid w:val="0"/>
              <w:jc w:val="center"/>
              <w:rPr>
                <w:rFonts w:asciiTheme="minorEastAsia" w:hAnsiTheme="minorEastAsia"/>
                <w:kern w:val="0"/>
                <w:sz w:val="18"/>
                <w:szCs w:val="18"/>
              </w:rPr>
            </w:pPr>
            <w:r>
              <w:rPr>
                <w:rFonts w:asciiTheme="minorEastAsia" w:hAnsiTheme="minorEastAsia"/>
                <w:kern w:val="0"/>
                <w:sz w:val="18"/>
                <w:szCs w:val="18"/>
              </w:rPr>
              <w:t>2</w:t>
            </w:r>
          </w:p>
        </w:tc>
      </w:tr>
      <w:tr w:rsidR="008F3C3A">
        <w:trPr>
          <w:trHeight w:val="454"/>
        </w:trPr>
        <w:tc>
          <w:tcPr>
            <w:tcW w:w="1245" w:type="dxa"/>
            <w:vMerge/>
            <w:vAlign w:val="center"/>
          </w:tcPr>
          <w:p w:rsidR="008F3C3A" w:rsidRDefault="008F3C3A">
            <w:pPr>
              <w:widowControl/>
              <w:adjustRightInd w:val="0"/>
              <w:snapToGrid w:val="0"/>
              <w:jc w:val="center"/>
              <w:rPr>
                <w:rFonts w:asciiTheme="minorEastAsia" w:hAnsiTheme="minorEastAsia"/>
                <w:kern w:val="0"/>
                <w:sz w:val="18"/>
                <w:szCs w:val="18"/>
              </w:rPr>
            </w:pPr>
          </w:p>
        </w:tc>
        <w:tc>
          <w:tcPr>
            <w:tcW w:w="1093" w:type="dxa"/>
            <w:vMerge/>
            <w:vAlign w:val="center"/>
          </w:tcPr>
          <w:p w:rsidR="008F3C3A" w:rsidRDefault="008F3C3A">
            <w:pPr>
              <w:widowControl/>
              <w:adjustRightInd w:val="0"/>
              <w:snapToGrid w:val="0"/>
              <w:jc w:val="center"/>
              <w:rPr>
                <w:rFonts w:asciiTheme="minorEastAsia" w:hAnsiTheme="minorEastAsia"/>
                <w:kern w:val="0"/>
                <w:sz w:val="18"/>
                <w:szCs w:val="18"/>
              </w:rPr>
            </w:pPr>
          </w:p>
        </w:tc>
        <w:tc>
          <w:tcPr>
            <w:tcW w:w="2554"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65%代森锌可湿性粉剂</w:t>
            </w:r>
          </w:p>
        </w:tc>
        <w:tc>
          <w:tcPr>
            <w:tcW w:w="1669"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80-100克/亩</w:t>
            </w:r>
          </w:p>
        </w:tc>
        <w:tc>
          <w:tcPr>
            <w:tcW w:w="1286"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喷雾</w:t>
            </w:r>
          </w:p>
        </w:tc>
        <w:tc>
          <w:tcPr>
            <w:tcW w:w="1329"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kern w:val="0"/>
                <w:sz w:val="18"/>
                <w:szCs w:val="18"/>
              </w:rPr>
              <w:t>/</w:t>
            </w:r>
          </w:p>
        </w:tc>
      </w:tr>
      <w:tr w:rsidR="008F3C3A">
        <w:trPr>
          <w:trHeight w:val="454"/>
        </w:trPr>
        <w:tc>
          <w:tcPr>
            <w:tcW w:w="1245" w:type="dxa"/>
            <w:vMerge/>
            <w:vAlign w:val="center"/>
          </w:tcPr>
          <w:p w:rsidR="008F3C3A" w:rsidRDefault="008F3C3A">
            <w:pPr>
              <w:widowControl/>
              <w:adjustRightInd w:val="0"/>
              <w:snapToGrid w:val="0"/>
              <w:jc w:val="center"/>
              <w:rPr>
                <w:rFonts w:asciiTheme="minorEastAsia" w:hAnsiTheme="minorEastAsia"/>
                <w:kern w:val="0"/>
                <w:sz w:val="18"/>
                <w:szCs w:val="18"/>
              </w:rPr>
            </w:pPr>
          </w:p>
        </w:tc>
        <w:tc>
          <w:tcPr>
            <w:tcW w:w="1093" w:type="dxa"/>
            <w:vMerge/>
            <w:vAlign w:val="center"/>
          </w:tcPr>
          <w:p w:rsidR="008F3C3A" w:rsidRDefault="008F3C3A">
            <w:pPr>
              <w:widowControl/>
              <w:adjustRightInd w:val="0"/>
              <w:snapToGrid w:val="0"/>
              <w:jc w:val="center"/>
              <w:rPr>
                <w:rFonts w:asciiTheme="minorEastAsia" w:hAnsiTheme="minorEastAsia"/>
                <w:kern w:val="0"/>
                <w:sz w:val="18"/>
                <w:szCs w:val="18"/>
              </w:rPr>
            </w:pPr>
          </w:p>
        </w:tc>
        <w:tc>
          <w:tcPr>
            <w:tcW w:w="2554"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10%苯</w:t>
            </w:r>
            <w:proofErr w:type="gramStart"/>
            <w:r>
              <w:rPr>
                <w:rFonts w:asciiTheme="minorEastAsia" w:hAnsiTheme="minorEastAsia" w:hint="eastAsia"/>
                <w:kern w:val="0"/>
                <w:sz w:val="18"/>
                <w:szCs w:val="18"/>
              </w:rPr>
              <w:t>醚甲环唑</w:t>
            </w:r>
            <w:proofErr w:type="gramEnd"/>
            <w:r>
              <w:rPr>
                <w:rFonts w:asciiTheme="minorEastAsia" w:hAnsiTheme="minorEastAsia" w:hint="eastAsia"/>
                <w:kern w:val="0"/>
                <w:sz w:val="18"/>
                <w:szCs w:val="18"/>
              </w:rPr>
              <w:t>水分散粒剂</w:t>
            </w:r>
          </w:p>
        </w:tc>
        <w:tc>
          <w:tcPr>
            <w:tcW w:w="1669"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1000-1500倍液</w:t>
            </w:r>
          </w:p>
        </w:tc>
        <w:tc>
          <w:tcPr>
            <w:tcW w:w="1286"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喷雾</w:t>
            </w:r>
          </w:p>
        </w:tc>
        <w:tc>
          <w:tcPr>
            <w:tcW w:w="1329"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kern w:val="0"/>
                <w:sz w:val="18"/>
                <w:szCs w:val="18"/>
              </w:rPr>
              <w:t>15</w:t>
            </w:r>
          </w:p>
        </w:tc>
      </w:tr>
      <w:tr w:rsidR="008F3C3A">
        <w:trPr>
          <w:trHeight w:val="454"/>
        </w:trPr>
        <w:tc>
          <w:tcPr>
            <w:tcW w:w="1245" w:type="dxa"/>
            <w:vMerge/>
            <w:vAlign w:val="center"/>
          </w:tcPr>
          <w:p w:rsidR="008F3C3A" w:rsidRDefault="008F3C3A">
            <w:pPr>
              <w:widowControl/>
              <w:adjustRightInd w:val="0"/>
              <w:snapToGrid w:val="0"/>
              <w:jc w:val="center"/>
              <w:rPr>
                <w:rFonts w:asciiTheme="minorEastAsia" w:hAnsiTheme="minorEastAsia"/>
                <w:kern w:val="0"/>
                <w:sz w:val="18"/>
                <w:szCs w:val="18"/>
              </w:rPr>
            </w:pPr>
          </w:p>
        </w:tc>
        <w:tc>
          <w:tcPr>
            <w:tcW w:w="1093" w:type="dxa"/>
            <w:vMerge/>
            <w:vAlign w:val="center"/>
          </w:tcPr>
          <w:p w:rsidR="008F3C3A" w:rsidRDefault="008F3C3A">
            <w:pPr>
              <w:widowControl/>
              <w:adjustRightInd w:val="0"/>
              <w:snapToGrid w:val="0"/>
              <w:jc w:val="center"/>
              <w:rPr>
                <w:rFonts w:asciiTheme="minorEastAsia" w:hAnsiTheme="minorEastAsia"/>
                <w:kern w:val="0"/>
                <w:sz w:val="18"/>
                <w:szCs w:val="18"/>
              </w:rPr>
            </w:pPr>
          </w:p>
        </w:tc>
        <w:tc>
          <w:tcPr>
            <w:tcW w:w="2554"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70%甲基</w:t>
            </w:r>
            <w:proofErr w:type="gramStart"/>
            <w:r>
              <w:rPr>
                <w:rFonts w:asciiTheme="minorEastAsia" w:hAnsiTheme="minorEastAsia" w:hint="eastAsia"/>
                <w:kern w:val="0"/>
                <w:sz w:val="18"/>
                <w:szCs w:val="18"/>
              </w:rPr>
              <w:t>硫菌灵</w:t>
            </w:r>
            <w:proofErr w:type="gramEnd"/>
            <w:r>
              <w:rPr>
                <w:rFonts w:asciiTheme="minorEastAsia" w:hAnsiTheme="minorEastAsia" w:hint="eastAsia"/>
                <w:kern w:val="0"/>
                <w:sz w:val="18"/>
                <w:szCs w:val="18"/>
              </w:rPr>
              <w:t>可湿性粉剂</w:t>
            </w:r>
          </w:p>
        </w:tc>
        <w:tc>
          <w:tcPr>
            <w:tcW w:w="1669"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60-75克/亩</w:t>
            </w:r>
          </w:p>
        </w:tc>
        <w:tc>
          <w:tcPr>
            <w:tcW w:w="1286"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喷雾</w:t>
            </w:r>
          </w:p>
        </w:tc>
        <w:tc>
          <w:tcPr>
            <w:tcW w:w="1329"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kern w:val="0"/>
                <w:sz w:val="18"/>
                <w:szCs w:val="18"/>
              </w:rPr>
              <w:t>7</w:t>
            </w:r>
          </w:p>
        </w:tc>
      </w:tr>
      <w:tr w:rsidR="008F3C3A">
        <w:trPr>
          <w:trHeight w:val="454"/>
        </w:trPr>
        <w:tc>
          <w:tcPr>
            <w:tcW w:w="1245" w:type="dxa"/>
            <w:vMerge/>
            <w:vAlign w:val="center"/>
          </w:tcPr>
          <w:p w:rsidR="008F3C3A" w:rsidRDefault="008F3C3A">
            <w:pPr>
              <w:widowControl/>
              <w:adjustRightInd w:val="0"/>
              <w:snapToGrid w:val="0"/>
              <w:jc w:val="center"/>
              <w:rPr>
                <w:rFonts w:asciiTheme="minorEastAsia" w:hAnsiTheme="minorEastAsia"/>
                <w:kern w:val="0"/>
                <w:sz w:val="18"/>
                <w:szCs w:val="18"/>
              </w:rPr>
            </w:pPr>
          </w:p>
        </w:tc>
        <w:tc>
          <w:tcPr>
            <w:tcW w:w="1093" w:type="dxa"/>
            <w:vAlign w:val="center"/>
          </w:tcPr>
          <w:p w:rsidR="008F3C3A" w:rsidRDefault="001A3ADD">
            <w:pPr>
              <w:widowControl/>
              <w:adjustRightInd w:val="0"/>
              <w:snapToGrid w:val="0"/>
              <w:jc w:val="center"/>
              <w:rPr>
                <w:rFonts w:asciiTheme="minorEastAsia" w:hAnsiTheme="minorEastAsia"/>
                <w:kern w:val="0"/>
                <w:sz w:val="18"/>
                <w:szCs w:val="18"/>
              </w:rPr>
            </w:pPr>
            <w:proofErr w:type="gramStart"/>
            <w:r>
              <w:rPr>
                <w:rFonts w:asciiTheme="minorEastAsia" w:hAnsiTheme="minorEastAsia" w:hint="eastAsia"/>
                <w:kern w:val="0"/>
                <w:sz w:val="18"/>
                <w:szCs w:val="18"/>
              </w:rPr>
              <w:t>养根期</w:t>
            </w:r>
            <w:proofErr w:type="gramEnd"/>
          </w:p>
        </w:tc>
        <w:tc>
          <w:tcPr>
            <w:tcW w:w="2554"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250克/升</w:t>
            </w:r>
            <w:proofErr w:type="gramStart"/>
            <w:r>
              <w:rPr>
                <w:rFonts w:asciiTheme="minorEastAsia" w:hAnsiTheme="minorEastAsia" w:hint="eastAsia"/>
                <w:kern w:val="0"/>
                <w:sz w:val="18"/>
                <w:szCs w:val="18"/>
              </w:rPr>
              <w:t>嘧菌酯</w:t>
            </w:r>
            <w:proofErr w:type="gramEnd"/>
            <w:r>
              <w:rPr>
                <w:rFonts w:asciiTheme="minorEastAsia" w:hAnsiTheme="minorEastAsia" w:hint="eastAsia"/>
                <w:kern w:val="0"/>
                <w:sz w:val="18"/>
                <w:szCs w:val="18"/>
              </w:rPr>
              <w:t>悬浮剂</w:t>
            </w:r>
          </w:p>
        </w:tc>
        <w:tc>
          <w:tcPr>
            <w:tcW w:w="1669"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70-90毫升/亩</w:t>
            </w:r>
          </w:p>
        </w:tc>
        <w:tc>
          <w:tcPr>
            <w:tcW w:w="1286"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喷雾</w:t>
            </w:r>
          </w:p>
        </w:tc>
        <w:tc>
          <w:tcPr>
            <w:tcW w:w="1329"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5</w:t>
            </w:r>
          </w:p>
        </w:tc>
      </w:tr>
      <w:tr w:rsidR="008F3C3A">
        <w:trPr>
          <w:trHeight w:val="485"/>
        </w:trPr>
        <w:tc>
          <w:tcPr>
            <w:tcW w:w="1245"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kern w:val="0"/>
                <w:sz w:val="18"/>
                <w:szCs w:val="18"/>
              </w:rPr>
              <w:t>褐斑病</w:t>
            </w:r>
          </w:p>
        </w:tc>
        <w:tc>
          <w:tcPr>
            <w:tcW w:w="1093"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发生前或发病初期</w:t>
            </w:r>
          </w:p>
        </w:tc>
        <w:tc>
          <w:tcPr>
            <w:tcW w:w="2554"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kern w:val="0"/>
                <w:sz w:val="18"/>
                <w:szCs w:val="18"/>
              </w:rPr>
              <w:t>25%吡唑</w:t>
            </w:r>
            <w:proofErr w:type="gramStart"/>
            <w:r>
              <w:rPr>
                <w:rFonts w:asciiTheme="minorEastAsia" w:hAnsiTheme="minorEastAsia"/>
                <w:kern w:val="0"/>
                <w:sz w:val="18"/>
                <w:szCs w:val="18"/>
              </w:rPr>
              <w:t>醚菌酯</w:t>
            </w:r>
            <w:proofErr w:type="gramEnd"/>
            <w:r>
              <w:rPr>
                <w:rFonts w:asciiTheme="minorEastAsia" w:hAnsiTheme="minorEastAsia"/>
                <w:kern w:val="0"/>
                <w:sz w:val="18"/>
                <w:szCs w:val="18"/>
              </w:rPr>
              <w:t>悬浮剂</w:t>
            </w:r>
          </w:p>
        </w:tc>
        <w:tc>
          <w:tcPr>
            <w:tcW w:w="1669"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sz w:val="18"/>
                <w:szCs w:val="18"/>
                <w:shd w:val="clear" w:color="auto" w:fill="FFFFFF"/>
              </w:rPr>
              <w:t>30-50毫升/亩</w:t>
            </w:r>
          </w:p>
        </w:tc>
        <w:tc>
          <w:tcPr>
            <w:tcW w:w="1286"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喷雾</w:t>
            </w:r>
          </w:p>
        </w:tc>
        <w:tc>
          <w:tcPr>
            <w:tcW w:w="1329"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kern w:val="0"/>
                <w:sz w:val="18"/>
                <w:szCs w:val="18"/>
              </w:rPr>
              <w:t>/</w:t>
            </w:r>
          </w:p>
        </w:tc>
      </w:tr>
      <w:tr w:rsidR="008F3C3A">
        <w:trPr>
          <w:trHeight w:val="485"/>
        </w:trPr>
        <w:tc>
          <w:tcPr>
            <w:tcW w:w="1245"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根腐病</w:t>
            </w:r>
          </w:p>
        </w:tc>
        <w:tc>
          <w:tcPr>
            <w:tcW w:w="1093"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发生前或发病初期</w:t>
            </w:r>
          </w:p>
        </w:tc>
        <w:tc>
          <w:tcPr>
            <w:tcW w:w="2554"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70%甲基</w:t>
            </w:r>
            <w:proofErr w:type="gramStart"/>
            <w:r>
              <w:rPr>
                <w:rFonts w:asciiTheme="minorEastAsia" w:hAnsiTheme="minorEastAsia" w:hint="eastAsia"/>
                <w:kern w:val="0"/>
                <w:sz w:val="18"/>
                <w:szCs w:val="18"/>
              </w:rPr>
              <w:t>硫菌灵</w:t>
            </w:r>
            <w:proofErr w:type="gramEnd"/>
            <w:r>
              <w:rPr>
                <w:rFonts w:asciiTheme="minorEastAsia" w:hAnsiTheme="minorEastAsia" w:hint="eastAsia"/>
                <w:kern w:val="0"/>
                <w:sz w:val="18"/>
                <w:szCs w:val="18"/>
              </w:rPr>
              <w:t>可湿性粉剂</w:t>
            </w:r>
          </w:p>
        </w:tc>
        <w:tc>
          <w:tcPr>
            <w:tcW w:w="1669" w:type="dxa"/>
            <w:vAlign w:val="center"/>
          </w:tcPr>
          <w:p w:rsidR="008F3C3A" w:rsidRDefault="001A3ADD">
            <w:pPr>
              <w:widowControl/>
              <w:adjustRightInd w:val="0"/>
              <w:snapToGrid w:val="0"/>
              <w:jc w:val="center"/>
              <w:rPr>
                <w:rFonts w:asciiTheme="minorEastAsia" w:hAnsiTheme="minorEastAsia"/>
                <w:sz w:val="18"/>
                <w:szCs w:val="18"/>
                <w:shd w:val="clear" w:color="auto" w:fill="FFFFFF"/>
              </w:rPr>
            </w:pPr>
            <w:r>
              <w:rPr>
                <w:rFonts w:asciiTheme="minorEastAsia" w:hAnsiTheme="minorEastAsia" w:hint="eastAsia"/>
                <w:kern w:val="0"/>
                <w:sz w:val="18"/>
                <w:szCs w:val="18"/>
              </w:rPr>
              <w:t>60-75克/亩</w:t>
            </w:r>
          </w:p>
        </w:tc>
        <w:tc>
          <w:tcPr>
            <w:tcW w:w="1286"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喷雾</w:t>
            </w:r>
          </w:p>
        </w:tc>
        <w:tc>
          <w:tcPr>
            <w:tcW w:w="1329"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kern w:val="0"/>
                <w:sz w:val="18"/>
                <w:szCs w:val="18"/>
              </w:rPr>
              <w:t>7</w:t>
            </w:r>
          </w:p>
        </w:tc>
      </w:tr>
      <w:tr w:rsidR="008F3C3A">
        <w:trPr>
          <w:trHeight w:val="423"/>
        </w:trPr>
        <w:tc>
          <w:tcPr>
            <w:tcW w:w="1245" w:type="dxa"/>
            <w:vMerge w:val="restart"/>
            <w:vAlign w:val="center"/>
          </w:tcPr>
          <w:p w:rsidR="008F3C3A" w:rsidRDefault="001A3ADD">
            <w:pPr>
              <w:widowControl/>
              <w:adjustRightInd w:val="0"/>
              <w:snapToGrid w:val="0"/>
              <w:jc w:val="center"/>
              <w:rPr>
                <w:rFonts w:asciiTheme="minorEastAsia" w:hAnsiTheme="minorEastAsia"/>
                <w:kern w:val="0"/>
                <w:sz w:val="18"/>
                <w:szCs w:val="18"/>
              </w:rPr>
            </w:pPr>
            <w:proofErr w:type="gramStart"/>
            <w:r>
              <w:rPr>
                <w:rFonts w:asciiTheme="minorEastAsia" w:hAnsiTheme="minorEastAsia" w:hint="eastAsia"/>
                <w:kern w:val="0"/>
                <w:sz w:val="18"/>
                <w:szCs w:val="18"/>
              </w:rPr>
              <w:t>蓟</w:t>
            </w:r>
            <w:proofErr w:type="gramEnd"/>
            <w:r>
              <w:rPr>
                <w:rFonts w:asciiTheme="minorEastAsia" w:hAnsiTheme="minorEastAsia" w:hint="eastAsia"/>
                <w:kern w:val="0"/>
                <w:sz w:val="18"/>
                <w:szCs w:val="18"/>
              </w:rPr>
              <w:t>马</w:t>
            </w:r>
          </w:p>
        </w:tc>
        <w:tc>
          <w:tcPr>
            <w:tcW w:w="1093" w:type="dxa"/>
            <w:vMerge w:val="restart"/>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发生初期</w:t>
            </w:r>
          </w:p>
        </w:tc>
        <w:tc>
          <w:tcPr>
            <w:tcW w:w="2554"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10%虫</w:t>
            </w:r>
            <w:proofErr w:type="gramStart"/>
            <w:r>
              <w:rPr>
                <w:rFonts w:asciiTheme="minorEastAsia" w:hAnsiTheme="minorEastAsia" w:hint="eastAsia"/>
                <w:kern w:val="0"/>
                <w:sz w:val="18"/>
                <w:szCs w:val="18"/>
              </w:rPr>
              <w:t>螨腈</w:t>
            </w:r>
            <w:proofErr w:type="gramEnd"/>
            <w:r>
              <w:rPr>
                <w:rFonts w:asciiTheme="minorEastAsia" w:hAnsiTheme="minorEastAsia" w:hint="eastAsia"/>
                <w:kern w:val="0"/>
                <w:sz w:val="18"/>
                <w:szCs w:val="18"/>
              </w:rPr>
              <w:t>悬浮剂</w:t>
            </w:r>
          </w:p>
        </w:tc>
        <w:tc>
          <w:tcPr>
            <w:tcW w:w="1669"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72-120毫升/亩</w:t>
            </w:r>
          </w:p>
        </w:tc>
        <w:tc>
          <w:tcPr>
            <w:tcW w:w="1286"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喷雾</w:t>
            </w:r>
          </w:p>
        </w:tc>
        <w:tc>
          <w:tcPr>
            <w:tcW w:w="1329"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3</w:t>
            </w:r>
          </w:p>
        </w:tc>
      </w:tr>
      <w:tr w:rsidR="008F3C3A">
        <w:trPr>
          <w:trHeight w:val="423"/>
        </w:trPr>
        <w:tc>
          <w:tcPr>
            <w:tcW w:w="1245" w:type="dxa"/>
            <w:vMerge/>
            <w:vAlign w:val="center"/>
          </w:tcPr>
          <w:p w:rsidR="008F3C3A" w:rsidRDefault="008F3C3A">
            <w:pPr>
              <w:widowControl/>
              <w:adjustRightInd w:val="0"/>
              <w:snapToGrid w:val="0"/>
              <w:jc w:val="center"/>
              <w:rPr>
                <w:rFonts w:asciiTheme="minorEastAsia" w:hAnsiTheme="minorEastAsia"/>
                <w:kern w:val="0"/>
                <w:sz w:val="18"/>
                <w:szCs w:val="18"/>
              </w:rPr>
            </w:pPr>
          </w:p>
        </w:tc>
        <w:tc>
          <w:tcPr>
            <w:tcW w:w="1093" w:type="dxa"/>
            <w:vMerge/>
            <w:vAlign w:val="center"/>
          </w:tcPr>
          <w:p w:rsidR="008F3C3A" w:rsidRDefault="008F3C3A">
            <w:pPr>
              <w:widowControl/>
              <w:adjustRightInd w:val="0"/>
              <w:snapToGrid w:val="0"/>
              <w:jc w:val="center"/>
              <w:rPr>
                <w:rFonts w:asciiTheme="minorEastAsia" w:hAnsiTheme="minorEastAsia"/>
                <w:kern w:val="0"/>
                <w:sz w:val="18"/>
                <w:szCs w:val="18"/>
              </w:rPr>
            </w:pPr>
          </w:p>
        </w:tc>
        <w:tc>
          <w:tcPr>
            <w:tcW w:w="2554"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25%</w:t>
            </w:r>
            <w:proofErr w:type="gramStart"/>
            <w:r>
              <w:rPr>
                <w:rFonts w:asciiTheme="minorEastAsia" w:hAnsiTheme="minorEastAsia" w:hint="eastAsia"/>
                <w:kern w:val="0"/>
                <w:sz w:val="18"/>
                <w:szCs w:val="18"/>
              </w:rPr>
              <w:t>噻</w:t>
            </w:r>
            <w:proofErr w:type="gramEnd"/>
            <w:r>
              <w:rPr>
                <w:rFonts w:asciiTheme="minorEastAsia" w:hAnsiTheme="minorEastAsia" w:hint="eastAsia"/>
                <w:kern w:val="0"/>
                <w:sz w:val="18"/>
                <w:szCs w:val="18"/>
              </w:rPr>
              <w:t>虫</w:t>
            </w:r>
            <w:proofErr w:type="gramStart"/>
            <w:r>
              <w:rPr>
                <w:rFonts w:asciiTheme="minorEastAsia" w:hAnsiTheme="minorEastAsia" w:hint="eastAsia"/>
                <w:kern w:val="0"/>
                <w:sz w:val="18"/>
                <w:szCs w:val="18"/>
              </w:rPr>
              <w:t>嗪</w:t>
            </w:r>
            <w:proofErr w:type="gramEnd"/>
            <w:r>
              <w:rPr>
                <w:rFonts w:asciiTheme="minorEastAsia" w:hAnsiTheme="minorEastAsia" w:hint="eastAsia"/>
                <w:kern w:val="0"/>
                <w:sz w:val="18"/>
                <w:szCs w:val="18"/>
              </w:rPr>
              <w:t>水分散粒剂</w:t>
            </w:r>
          </w:p>
        </w:tc>
        <w:tc>
          <w:tcPr>
            <w:tcW w:w="1669"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20-40克/亩</w:t>
            </w:r>
          </w:p>
        </w:tc>
        <w:tc>
          <w:tcPr>
            <w:tcW w:w="1286"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喷雾</w:t>
            </w:r>
          </w:p>
        </w:tc>
        <w:tc>
          <w:tcPr>
            <w:tcW w:w="1329"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3</w:t>
            </w:r>
          </w:p>
        </w:tc>
      </w:tr>
      <w:tr w:rsidR="008F3C3A">
        <w:trPr>
          <w:trHeight w:val="423"/>
        </w:trPr>
        <w:tc>
          <w:tcPr>
            <w:tcW w:w="1245" w:type="dxa"/>
            <w:vMerge w:val="restart"/>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甜菜夜蛾</w:t>
            </w:r>
          </w:p>
        </w:tc>
        <w:tc>
          <w:tcPr>
            <w:tcW w:w="1093" w:type="dxa"/>
            <w:vMerge w:val="restart"/>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低龄幼虫期</w:t>
            </w:r>
          </w:p>
        </w:tc>
        <w:tc>
          <w:tcPr>
            <w:tcW w:w="2554"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150克/升</w:t>
            </w:r>
            <w:proofErr w:type="gramStart"/>
            <w:r>
              <w:rPr>
                <w:rFonts w:asciiTheme="minorEastAsia" w:hAnsiTheme="minorEastAsia" w:hint="eastAsia"/>
                <w:kern w:val="0"/>
                <w:sz w:val="18"/>
                <w:szCs w:val="18"/>
              </w:rPr>
              <w:t>茚虫威</w:t>
            </w:r>
            <w:proofErr w:type="gramEnd"/>
            <w:r>
              <w:rPr>
                <w:rFonts w:asciiTheme="minorEastAsia" w:hAnsiTheme="minorEastAsia" w:hint="eastAsia"/>
                <w:kern w:val="0"/>
                <w:sz w:val="18"/>
                <w:szCs w:val="18"/>
              </w:rPr>
              <w:t>悬浮剂</w:t>
            </w:r>
          </w:p>
        </w:tc>
        <w:tc>
          <w:tcPr>
            <w:tcW w:w="1669"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14-18毫升/亩</w:t>
            </w:r>
          </w:p>
        </w:tc>
        <w:tc>
          <w:tcPr>
            <w:tcW w:w="1286"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喷雾</w:t>
            </w:r>
          </w:p>
        </w:tc>
        <w:tc>
          <w:tcPr>
            <w:tcW w:w="1329"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3</w:t>
            </w:r>
          </w:p>
        </w:tc>
      </w:tr>
      <w:tr w:rsidR="008F3C3A">
        <w:trPr>
          <w:trHeight w:val="423"/>
        </w:trPr>
        <w:tc>
          <w:tcPr>
            <w:tcW w:w="1245" w:type="dxa"/>
            <w:vMerge/>
            <w:vAlign w:val="center"/>
          </w:tcPr>
          <w:p w:rsidR="008F3C3A" w:rsidRDefault="008F3C3A">
            <w:pPr>
              <w:widowControl/>
              <w:adjustRightInd w:val="0"/>
              <w:snapToGrid w:val="0"/>
              <w:jc w:val="center"/>
              <w:rPr>
                <w:rFonts w:asciiTheme="minorEastAsia" w:hAnsiTheme="minorEastAsia"/>
                <w:kern w:val="0"/>
                <w:sz w:val="18"/>
                <w:szCs w:val="18"/>
              </w:rPr>
            </w:pPr>
          </w:p>
        </w:tc>
        <w:tc>
          <w:tcPr>
            <w:tcW w:w="1093" w:type="dxa"/>
            <w:vMerge/>
            <w:vAlign w:val="center"/>
          </w:tcPr>
          <w:p w:rsidR="008F3C3A" w:rsidRDefault="008F3C3A">
            <w:pPr>
              <w:widowControl/>
              <w:adjustRightInd w:val="0"/>
              <w:snapToGrid w:val="0"/>
              <w:jc w:val="center"/>
              <w:rPr>
                <w:rFonts w:asciiTheme="minorEastAsia" w:hAnsiTheme="minorEastAsia"/>
                <w:kern w:val="0"/>
                <w:sz w:val="18"/>
                <w:szCs w:val="18"/>
              </w:rPr>
            </w:pPr>
          </w:p>
        </w:tc>
        <w:tc>
          <w:tcPr>
            <w:tcW w:w="2554"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2%甲氨基阿维菌素</w:t>
            </w:r>
            <w:proofErr w:type="gramStart"/>
            <w:r>
              <w:rPr>
                <w:rFonts w:asciiTheme="minorEastAsia" w:hAnsiTheme="minorEastAsia" w:hint="eastAsia"/>
                <w:kern w:val="0"/>
                <w:sz w:val="18"/>
                <w:szCs w:val="18"/>
              </w:rPr>
              <w:t>苯甲酸盐微乳剂</w:t>
            </w:r>
            <w:proofErr w:type="gramEnd"/>
          </w:p>
        </w:tc>
        <w:tc>
          <w:tcPr>
            <w:tcW w:w="1669"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7.5-10毫升/亩</w:t>
            </w:r>
          </w:p>
        </w:tc>
        <w:tc>
          <w:tcPr>
            <w:tcW w:w="1286"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喷雾</w:t>
            </w:r>
          </w:p>
        </w:tc>
        <w:tc>
          <w:tcPr>
            <w:tcW w:w="1329"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w:t>
            </w:r>
          </w:p>
        </w:tc>
      </w:tr>
      <w:tr w:rsidR="008F3C3A">
        <w:trPr>
          <w:trHeight w:val="423"/>
        </w:trPr>
        <w:tc>
          <w:tcPr>
            <w:tcW w:w="1245"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棉铃虫</w:t>
            </w:r>
          </w:p>
        </w:tc>
        <w:tc>
          <w:tcPr>
            <w:tcW w:w="1093"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低龄幼虫发生始盛期</w:t>
            </w:r>
          </w:p>
        </w:tc>
        <w:tc>
          <w:tcPr>
            <w:tcW w:w="2554"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8000IU/毫克苏云金杆菌可湿性粉剂</w:t>
            </w:r>
          </w:p>
        </w:tc>
        <w:tc>
          <w:tcPr>
            <w:tcW w:w="1669"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kern w:val="0"/>
                <w:sz w:val="18"/>
                <w:szCs w:val="18"/>
              </w:rPr>
              <w:t>600-800克/亩</w:t>
            </w:r>
          </w:p>
        </w:tc>
        <w:tc>
          <w:tcPr>
            <w:tcW w:w="1286"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喷雾</w:t>
            </w:r>
          </w:p>
        </w:tc>
        <w:tc>
          <w:tcPr>
            <w:tcW w:w="1329" w:type="dxa"/>
            <w:vAlign w:val="center"/>
          </w:tcPr>
          <w:p w:rsidR="008F3C3A" w:rsidRDefault="001A3ADD">
            <w:pPr>
              <w:widowControl/>
              <w:adjustRightInd w:val="0"/>
              <w:snapToGrid w:val="0"/>
              <w:jc w:val="center"/>
              <w:rPr>
                <w:rFonts w:asciiTheme="minorEastAsia" w:hAnsiTheme="minorEastAsia"/>
                <w:kern w:val="0"/>
                <w:sz w:val="18"/>
                <w:szCs w:val="18"/>
              </w:rPr>
            </w:pPr>
            <w:r>
              <w:rPr>
                <w:rFonts w:asciiTheme="minorEastAsia" w:hAnsiTheme="minorEastAsia" w:hint="eastAsia"/>
                <w:kern w:val="0"/>
                <w:sz w:val="18"/>
                <w:szCs w:val="18"/>
              </w:rPr>
              <w:t>/</w:t>
            </w:r>
          </w:p>
        </w:tc>
      </w:tr>
      <w:tr w:rsidR="008F3C3A">
        <w:trPr>
          <w:trHeight w:val="454"/>
        </w:trPr>
        <w:tc>
          <w:tcPr>
            <w:tcW w:w="9176" w:type="dxa"/>
            <w:gridSpan w:val="6"/>
            <w:vAlign w:val="center"/>
          </w:tcPr>
          <w:p w:rsidR="008F3C3A" w:rsidRDefault="001A3ADD">
            <w:pPr>
              <w:widowControl/>
              <w:adjustRightInd w:val="0"/>
              <w:snapToGrid w:val="0"/>
              <w:rPr>
                <w:rFonts w:asciiTheme="minorEastAsia" w:hAnsiTheme="minorEastAsia"/>
                <w:kern w:val="0"/>
                <w:sz w:val="18"/>
                <w:szCs w:val="18"/>
              </w:rPr>
            </w:pPr>
            <w:r>
              <w:rPr>
                <w:rFonts w:ascii="黑体" w:eastAsia="黑体" w:hAnsi="黑体" w:hint="eastAsia"/>
                <w:kern w:val="0"/>
                <w:sz w:val="18"/>
                <w:szCs w:val="18"/>
              </w:rPr>
              <w:t>注：</w:t>
            </w:r>
            <w:r>
              <w:rPr>
                <w:rFonts w:asciiTheme="minorEastAsia" w:hAnsiTheme="minorEastAsia" w:hint="eastAsia"/>
                <w:kern w:val="0"/>
                <w:sz w:val="18"/>
                <w:szCs w:val="18"/>
              </w:rPr>
              <w:t>农药使用应以最新版本</w:t>
            </w:r>
            <w:r>
              <w:rPr>
                <w:rFonts w:asciiTheme="minorEastAsia" w:hAnsiTheme="minorEastAsia"/>
                <w:kern w:val="0"/>
                <w:sz w:val="18"/>
                <w:szCs w:val="18"/>
              </w:rPr>
              <w:t xml:space="preserve"> NY/T393</w:t>
            </w:r>
            <w:r>
              <w:rPr>
                <w:rFonts w:asciiTheme="minorEastAsia" w:hAnsiTheme="minorEastAsia" w:hint="eastAsia"/>
                <w:kern w:val="0"/>
                <w:sz w:val="18"/>
                <w:szCs w:val="18"/>
              </w:rPr>
              <w:t>的规定为准。</w:t>
            </w:r>
          </w:p>
        </w:tc>
      </w:tr>
    </w:tbl>
    <w:p w:rsidR="008F3C3A" w:rsidRDefault="001A3ADD">
      <w:pPr>
        <w:spacing w:line="400" w:lineRule="atLeast"/>
        <w:contextualSpacing/>
        <w:jc w:val="center"/>
        <w:rPr>
          <w:rFonts w:ascii="宋体" w:hAnsi="宋体" w:cs="宋体"/>
          <w:szCs w:val="21"/>
        </w:rPr>
      </w:pPr>
      <w:bookmarkStart w:id="13" w:name="BookMark8"/>
      <w:r>
        <w:rPr>
          <w:rFonts w:ascii="Calibri" w:eastAsia="宋体" w:hAnsi="Calibri" w:cs="Times New Roman"/>
          <w:noProof/>
          <w:szCs w:val="21"/>
        </w:rPr>
        <w:drawing>
          <wp:inline distT="0" distB="0" distL="0" distR="0" wp14:anchorId="2895BC8E" wp14:editId="136F49B0">
            <wp:extent cx="1485900" cy="317500"/>
            <wp:effectExtent l="0" t="0" r="0" b="6350"/>
            <wp:docPr id="16" name="图片 16"/>
            <wp:cNvGraphicFramePr/>
            <a:graphic xmlns:a="http://schemas.openxmlformats.org/drawingml/2006/main">
              <a:graphicData uri="http://schemas.openxmlformats.org/drawingml/2006/picture">
                <pic:pic xmlns:pic="http://schemas.openxmlformats.org/drawingml/2006/picture">
                  <pic:nvPicPr>
                    <pic:cNvPr id="16" name="图片 16"/>
                    <pic:cNvPicPr/>
                  </pic:nvPicPr>
                  <pic:blipFill>
                    <a:blip r:embed="rId1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3"/>
    </w:p>
    <w:p w:rsidR="008F3C3A" w:rsidRDefault="008F3C3A">
      <w:pPr>
        <w:spacing w:line="400" w:lineRule="atLeast"/>
        <w:ind w:firstLineChars="200" w:firstLine="420"/>
        <w:contextualSpacing/>
        <w:rPr>
          <w:rFonts w:ascii="宋体" w:hAnsi="宋体" w:cs="宋体"/>
          <w:szCs w:val="21"/>
        </w:rPr>
      </w:pPr>
    </w:p>
    <w:p w:rsidR="008F3C3A" w:rsidRDefault="008F3C3A">
      <w:pPr>
        <w:spacing w:line="400" w:lineRule="atLeast"/>
        <w:ind w:firstLineChars="200" w:firstLine="420"/>
        <w:contextualSpacing/>
        <w:rPr>
          <w:rFonts w:ascii="宋体" w:hAnsi="宋体" w:cs="宋体"/>
          <w:szCs w:val="21"/>
        </w:rPr>
      </w:pPr>
    </w:p>
    <w:sectPr w:rsidR="008F3C3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04EB" w:rsidRDefault="00DB04EB" w:rsidP="00E0581A">
      <w:r>
        <w:separator/>
      </w:r>
    </w:p>
  </w:endnote>
  <w:endnote w:type="continuationSeparator" w:id="0">
    <w:p w:rsidR="00DB04EB" w:rsidRDefault="00DB04EB" w:rsidP="00E05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04EB" w:rsidRDefault="00DB04EB" w:rsidP="00E0581A">
      <w:r>
        <w:separator/>
      </w:r>
    </w:p>
  </w:footnote>
  <w:footnote w:type="continuationSeparator" w:id="0">
    <w:p w:rsidR="00DB04EB" w:rsidRDefault="00DB04EB" w:rsidP="00E058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suff w:val="nothing"/>
      <w:lvlText w:val="%1.%2.%3　"/>
      <w:lvlJc w:val="left"/>
      <w:pPr>
        <w:ind w:left="426"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2C5917C3"/>
    <w:multiLevelType w:val="multilevel"/>
    <w:tmpl w:val="2C5917C3"/>
    <w:lvl w:ilvl="0">
      <w:start w:val="1"/>
      <w:numFmt w:val="none"/>
      <w:suff w:val="nothing"/>
      <w:lvlText w:val="%1——"/>
      <w:lvlJc w:val="left"/>
      <w:pPr>
        <w:ind w:left="833" w:hanging="408"/>
      </w:pPr>
      <w:rPr>
        <w:rFonts w:hint="eastAsia"/>
      </w:rPr>
    </w:lvl>
    <w:lvl w:ilvl="1">
      <w:start w:val="1"/>
      <w:numFmt w:val="bullet"/>
      <w:lvlText w:val=""/>
      <w:lvlJc w:val="left"/>
      <w:pPr>
        <w:tabs>
          <w:tab w:val="left" w:pos="760"/>
        </w:tabs>
        <w:ind w:left="1264" w:hanging="413"/>
      </w:pPr>
      <w:rPr>
        <w:rFonts w:ascii="Symbol" w:hAnsi="Symbol" w:hint="default"/>
        <w:color w:val="auto"/>
      </w:rPr>
    </w:lvl>
    <w:lvl w:ilvl="2">
      <w:start w:val="1"/>
      <w:numFmt w:val="bullet"/>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2">
    <w:nsid w:val="3D733618"/>
    <w:multiLevelType w:val="multilevel"/>
    <w:tmpl w:val="3D733618"/>
    <w:lvl w:ilvl="0">
      <w:start w:val="1"/>
      <w:numFmt w:val="decimal"/>
      <w:pStyle w:val="a"/>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D81"/>
    <w:rsid w:val="000078BA"/>
    <w:rsid w:val="00010D47"/>
    <w:rsid w:val="00032981"/>
    <w:rsid w:val="0003341C"/>
    <w:rsid w:val="00041193"/>
    <w:rsid w:val="00047F36"/>
    <w:rsid w:val="00052D53"/>
    <w:rsid w:val="0005552F"/>
    <w:rsid w:val="00062C07"/>
    <w:rsid w:val="000800AB"/>
    <w:rsid w:val="000934DD"/>
    <w:rsid w:val="000945C0"/>
    <w:rsid w:val="000951FB"/>
    <w:rsid w:val="000A3209"/>
    <w:rsid w:val="000B35E1"/>
    <w:rsid w:val="000B7837"/>
    <w:rsid w:val="000C1AF2"/>
    <w:rsid w:val="000D6298"/>
    <w:rsid w:val="000D718D"/>
    <w:rsid w:val="000D76B9"/>
    <w:rsid w:val="001000D3"/>
    <w:rsid w:val="00101686"/>
    <w:rsid w:val="00102BAF"/>
    <w:rsid w:val="001174B5"/>
    <w:rsid w:val="001214BA"/>
    <w:rsid w:val="00121D44"/>
    <w:rsid w:val="00131E86"/>
    <w:rsid w:val="0014157B"/>
    <w:rsid w:val="00155F56"/>
    <w:rsid w:val="00164365"/>
    <w:rsid w:val="00166DC5"/>
    <w:rsid w:val="00173CA5"/>
    <w:rsid w:val="00184BFA"/>
    <w:rsid w:val="00196F6A"/>
    <w:rsid w:val="001A3ADD"/>
    <w:rsid w:val="001A60E2"/>
    <w:rsid w:val="001C3B17"/>
    <w:rsid w:val="001C7D6C"/>
    <w:rsid w:val="001D1D92"/>
    <w:rsid w:val="001D220C"/>
    <w:rsid w:val="001D33B6"/>
    <w:rsid w:val="001D426D"/>
    <w:rsid w:val="001E1AE2"/>
    <w:rsid w:val="001E5770"/>
    <w:rsid w:val="001F12E0"/>
    <w:rsid w:val="001F6AB3"/>
    <w:rsid w:val="00200B5C"/>
    <w:rsid w:val="002122A5"/>
    <w:rsid w:val="00230059"/>
    <w:rsid w:val="00242A16"/>
    <w:rsid w:val="00246596"/>
    <w:rsid w:val="00256B35"/>
    <w:rsid w:val="00273CF5"/>
    <w:rsid w:val="00274391"/>
    <w:rsid w:val="002778A2"/>
    <w:rsid w:val="002818B5"/>
    <w:rsid w:val="00285292"/>
    <w:rsid w:val="00294A94"/>
    <w:rsid w:val="002975C0"/>
    <w:rsid w:val="002A5090"/>
    <w:rsid w:val="002A6F99"/>
    <w:rsid w:val="002D041F"/>
    <w:rsid w:val="003051E3"/>
    <w:rsid w:val="00312FA9"/>
    <w:rsid w:val="00315F08"/>
    <w:rsid w:val="00322604"/>
    <w:rsid w:val="003415A1"/>
    <w:rsid w:val="00343081"/>
    <w:rsid w:val="00343AF3"/>
    <w:rsid w:val="003568E3"/>
    <w:rsid w:val="00367D81"/>
    <w:rsid w:val="0038067B"/>
    <w:rsid w:val="00380E97"/>
    <w:rsid w:val="003A3E3C"/>
    <w:rsid w:val="003B5258"/>
    <w:rsid w:val="003D6506"/>
    <w:rsid w:val="003E156D"/>
    <w:rsid w:val="003E6EC0"/>
    <w:rsid w:val="003F5A29"/>
    <w:rsid w:val="00417A29"/>
    <w:rsid w:val="004228D4"/>
    <w:rsid w:val="00432245"/>
    <w:rsid w:val="00452498"/>
    <w:rsid w:val="00454821"/>
    <w:rsid w:val="00455D2C"/>
    <w:rsid w:val="004565C7"/>
    <w:rsid w:val="00457CF8"/>
    <w:rsid w:val="00467786"/>
    <w:rsid w:val="0047021C"/>
    <w:rsid w:val="00476998"/>
    <w:rsid w:val="00481BC2"/>
    <w:rsid w:val="004844B1"/>
    <w:rsid w:val="00497A20"/>
    <w:rsid w:val="004A057E"/>
    <w:rsid w:val="004B0E3F"/>
    <w:rsid w:val="004B35FC"/>
    <w:rsid w:val="004E6B0C"/>
    <w:rsid w:val="004F2079"/>
    <w:rsid w:val="005132CE"/>
    <w:rsid w:val="0051610C"/>
    <w:rsid w:val="005162D9"/>
    <w:rsid w:val="005308F9"/>
    <w:rsid w:val="00535870"/>
    <w:rsid w:val="0054418F"/>
    <w:rsid w:val="00544D7F"/>
    <w:rsid w:val="00563C94"/>
    <w:rsid w:val="00565BC0"/>
    <w:rsid w:val="00567796"/>
    <w:rsid w:val="0057375F"/>
    <w:rsid w:val="005829FD"/>
    <w:rsid w:val="00596CA0"/>
    <w:rsid w:val="005974F1"/>
    <w:rsid w:val="005A2AB8"/>
    <w:rsid w:val="005C46BA"/>
    <w:rsid w:val="005D6A10"/>
    <w:rsid w:val="005E3C8C"/>
    <w:rsid w:val="005F0760"/>
    <w:rsid w:val="005F4A93"/>
    <w:rsid w:val="00604633"/>
    <w:rsid w:val="00611F79"/>
    <w:rsid w:val="0061200B"/>
    <w:rsid w:val="00615256"/>
    <w:rsid w:val="006158DB"/>
    <w:rsid w:val="00617DC0"/>
    <w:rsid w:val="006244E3"/>
    <w:rsid w:val="00626F8D"/>
    <w:rsid w:val="0062721A"/>
    <w:rsid w:val="00630E82"/>
    <w:rsid w:val="00631D20"/>
    <w:rsid w:val="006325EF"/>
    <w:rsid w:val="006345B2"/>
    <w:rsid w:val="006369D0"/>
    <w:rsid w:val="006435A3"/>
    <w:rsid w:val="00644A4B"/>
    <w:rsid w:val="006504A2"/>
    <w:rsid w:val="00651C91"/>
    <w:rsid w:val="00662C3A"/>
    <w:rsid w:val="00665719"/>
    <w:rsid w:val="00681E34"/>
    <w:rsid w:val="006869AD"/>
    <w:rsid w:val="006954D0"/>
    <w:rsid w:val="006978E7"/>
    <w:rsid w:val="006A1432"/>
    <w:rsid w:val="006A2525"/>
    <w:rsid w:val="006A63B2"/>
    <w:rsid w:val="006B17F4"/>
    <w:rsid w:val="006B3912"/>
    <w:rsid w:val="006B5DE4"/>
    <w:rsid w:val="006C09F4"/>
    <w:rsid w:val="006C2BEB"/>
    <w:rsid w:val="006C5FFB"/>
    <w:rsid w:val="006D093D"/>
    <w:rsid w:val="006D35E2"/>
    <w:rsid w:val="006E589C"/>
    <w:rsid w:val="00700193"/>
    <w:rsid w:val="00700FC0"/>
    <w:rsid w:val="00703194"/>
    <w:rsid w:val="00710FB5"/>
    <w:rsid w:val="00724B8E"/>
    <w:rsid w:val="00725696"/>
    <w:rsid w:val="00731484"/>
    <w:rsid w:val="00732332"/>
    <w:rsid w:val="0074668F"/>
    <w:rsid w:val="00751A97"/>
    <w:rsid w:val="00752654"/>
    <w:rsid w:val="00756D94"/>
    <w:rsid w:val="007635E4"/>
    <w:rsid w:val="00785411"/>
    <w:rsid w:val="007879E7"/>
    <w:rsid w:val="0079482C"/>
    <w:rsid w:val="0079592B"/>
    <w:rsid w:val="007A73F2"/>
    <w:rsid w:val="007B3B42"/>
    <w:rsid w:val="007F1CFD"/>
    <w:rsid w:val="00806A4D"/>
    <w:rsid w:val="008110D4"/>
    <w:rsid w:val="00821B7A"/>
    <w:rsid w:val="0082296A"/>
    <w:rsid w:val="0084288F"/>
    <w:rsid w:val="00847ECE"/>
    <w:rsid w:val="0087766A"/>
    <w:rsid w:val="008809A4"/>
    <w:rsid w:val="008854AF"/>
    <w:rsid w:val="008958B0"/>
    <w:rsid w:val="008A668F"/>
    <w:rsid w:val="008B21C1"/>
    <w:rsid w:val="008C1E43"/>
    <w:rsid w:val="008C39FC"/>
    <w:rsid w:val="008D461B"/>
    <w:rsid w:val="008D7053"/>
    <w:rsid w:val="008F3C3A"/>
    <w:rsid w:val="008F50EB"/>
    <w:rsid w:val="00901866"/>
    <w:rsid w:val="00913274"/>
    <w:rsid w:val="009215EF"/>
    <w:rsid w:val="00922387"/>
    <w:rsid w:val="00936FEA"/>
    <w:rsid w:val="00937E7B"/>
    <w:rsid w:val="009427F5"/>
    <w:rsid w:val="00952720"/>
    <w:rsid w:val="0095593F"/>
    <w:rsid w:val="009718A6"/>
    <w:rsid w:val="0098198E"/>
    <w:rsid w:val="009A1425"/>
    <w:rsid w:val="009B07A8"/>
    <w:rsid w:val="009C0A33"/>
    <w:rsid w:val="009C537C"/>
    <w:rsid w:val="009C6010"/>
    <w:rsid w:val="009C604E"/>
    <w:rsid w:val="009D7BC1"/>
    <w:rsid w:val="009D7E39"/>
    <w:rsid w:val="009E54E3"/>
    <w:rsid w:val="009F7930"/>
    <w:rsid w:val="00A0161D"/>
    <w:rsid w:val="00A12C3A"/>
    <w:rsid w:val="00A1773A"/>
    <w:rsid w:val="00A17F74"/>
    <w:rsid w:val="00A34658"/>
    <w:rsid w:val="00A356FA"/>
    <w:rsid w:val="00A36CF9"/>
    <w:rsid w:val="00A43012"/>
    <w:rsid w:val="00A62629"/>
    <w:rsid w:val="00A72E9D"/>
    <w:rsid w:val="00A755E1"/>
    <w:rsid w:val="00AB4F20"/>
    <w:rsid w:val="00AB5C59"/>
    <w:rsid w:val="00AC51D5"/>
    <w:rsid w:val="00AC5C18"/>
    <w:rsid w:val="00AE2894"/>
    <w:rsid w:val="00AE5AD4"/>
    <w:rsid w:val="00AF316F"/>
    <w:rsid w:val="00AF6722"/>
    <w:rsid w:val="00B15CE3"/>
    <w:rsid w:val="00B34DAD"/>
    <w:rsid w:val="00B41CC5"/>
    <w:rsid w:val="00B46084"/>
    <w:rsid w:val="00B6046E"/>
    <w:rsid w:val="00B76D33"/>
    <w:rsid w:val="00B950BE"/>
    <w:rsid w:val="00B95C9A"/>
    <w:rsid w:val="00BB0EBC"/>
    <w:rsid w:val="00BD05CD"/>
    <w:rsid w:val="00BD7458"/>
    <w:rsid w:val="00BE7988"/>
    <w:rsid w:val="00BF14E5"/>
    <w:rsid w:val="00BF1A85"/>
    <w:rsid w:val="00BF2625"/>
    <w:rsid w:val="00C024D2"/>
    <w:rsid w:val="00C04C52"/>
    <w:rsid w:val="00C07BEB"/>
    <w:rsid w:val="00C34BBE"/>
    <w:rsid w:val="00C43C6F"/>
    <w:rsid w:val="00C47949"/>
    <w:rsid w:val="00C51050"/>
    <w:rsid w:val="00C67DD5"/>
    <w:rsid w:val="00C7438E"/>
    <w:rsid w:val="00C83F6C"/>
    <w:rsid w:val="00C850C4"/>
    <w:rsid w:val="00CB1B6C"/>
    <w:rsid w:val="00CC078A"/>
    <w:rsid w:val="00CC33C2"/>
    <w:rsid w:val="00CC6570"/>
    <w:rsid w:val="00CD4220"/>
    <w:rsid w:val="00CE049E"/>
    <w:rsid w:val="00CE0E58"/>
    <w:rsid w:val="00CE1578"/>
    <w:rsid w:val="00D021FA"/>
    <w:rsid w:val="00D210EA"/>
    <w:rsid w:val="00D51A66"/>
    <w:rsid w:val="00D57565"/>
    <w:rsid w:val="00D64BBE"/>
    <w:rsid w:val="00D87C01"/>
    <w:rsid w:val="00D9406B"/>
    <w:rsid w:val="00D959F7"/>
    <w:rsid w:val="00DA3EA7"/>
    <w:rsid w:val="00DA58CB"/>
    <w:rsid w:val="00DB04EB"/>
    <w:rsid w:val="00DB5F95"/>
    <w:rsid w:val="00DB78C0"/>
    <w:rsid w:val="00DB794E"/>
    <w:rsid w:val="00DC1116"/>
    <w:rsid w:val="00DD1F31"/>
    <w:rsid w:val="00DD5E9D"/>
    <w:rsid w:val="00E0581A"/>
    <w:rsid w:val="00E05E44"/>
    <w:rsid w:val="00E1106D"/>
    <w:rsid w:val="00E11289"/>
    <w:rsid w:val="00E238C7"/>
    <w:rsid w:val="00E27C9B"/>
    <w:rsid w:val="00E32B94"/>
    <w:rsid w:val="00E356A7"/>
    <w:rsid w:val="00E3661A"/>
    <w:rsid w:val="00E562E0"/>
    <w:rsid w:val="00E569E7"/>
    <w:rsid w:val="00E62134"/>
    <w:rsid w:val="00E672ED"/>
    <w:rsid w:val="00E72131"/>
    <w:rsid w:val="00E730A4"/>
    <w:rsid w:val="00E85024"/>
    <w:rsid w:val="00E8718E"/>
    <w:rsid w:val="00E87BCB"/>
    <w:rsid w:val="00EA2BD4"/>
    <w:rsid w:val="00EA5940"/>
    <w:rsid w:val="00EB779F"/>
    <w:rsid w:val="00EC27C4"/>
    <w:rsid w:val="00EE25C9"/>
    <w:rsid w:val="00EE2986"/>
    <w:rsid w:val="00EE3EDC"/>
    <w:rsid w:val="00EE60B3"/>
    <w:rsid w:val="00EE64E9"/>
    <w:rsid w:val="00EF0B80"/>
    <w:rsid w:val="00EF44DE"/>
    <w:rsid w:val="00F003C5"/>
    <w:rsid w:val="00F02E60"/>
    <w:rsid w:val="00F14D42"/>
    <w:rsid w:val="00F3477B"/>
    <w:rsid w:val="00F47B0A"/>
    <w:rsid w:val="00F51294"/>
    <w:rsid w:val="00F55CA7"/>
    <w:rsid w:val="00F573FA"/>
    <w:rsid w:val="00F61068"/>
    <w:rsid w:val="00F621BF"/>
    <w:rsid w:val="00F65F92"/>
    <w:rsid w:val="00F712FE"/>
    <w:rsid w:val="00F7351A"/>
    <w:rsid w:val="00F824E5"/>
    <w:rsid w:val="00F836D7"/>
    <w:rsid w:val="00F838E9"/>
    <w:rsid w:val="00F86904"/>
    <w:rsid w:val="00F91E83"/>
    <w:rsid w:val="00F96F67"/>
    <w:rsid w:val="00FC07CD"/>
    <w:rsid w:val="00FD10B3"/>
    <w:rsid w:val="00FD1D6D"/>
    <w:rsid w:val="00FE22E1"/>
    <w:rsid w:val="00FE5060"/>
    <w:rsid w:val="00FF62EF"/>
    <w:rsid w:val="058468E4"/>
    <w:rsid w:val="0671014D"/>
    <w:rsid w:val="075931EA"/>
    <w:rsid w:val="12295702"/>
    <w:rsid w:val="1302082B"/>
    <w:rsid w:val="14311A89"/>
    <w:rsid w:val="170B6066"/>
    <w:rsid w:val="17802D4A"/>
    <w:rsid w:val="17BA1BD6"/>
    <w:rsid w:val="184B7A34"/>
    <w:rsid w:val="19DC27E4"/>
    <w:rsid w:val="1AEB3402"/>
    <w:rsid w:val="234C3D91"/>
    <w:rsid w:val="2BEB2124"/>
    <w:rsid w:val="314F6E71"/>
    <w:rsid w:val="32E572C0"/>
    <w:rsid w:val="34263F9F"/>
    <w:rsid w:val="363F4EB8"/>
    <w:rsid w:val="36614962"/>
    <w:rsid w:val="38781008"/>
    <w:rsid w:val="38834AE0"/>
    <w:rsid w:val="3B1B2936"/>
    <w:rsid w:val="41961E6E"/>
    <w:rsid w:val="432F0857"/>
    <w:rsid w:val="43E85DFA"/>
    <w:rsid w:val="45506447"/>
    <w:rsid w:val="45D2580B"/>
    <w:rsid w:val="47F20914"/>
    <w:rsid w:val="49C111C7"/>
    <w:rsid w:val="4BE35428"/>
    <w:rsid w:val="4E927838"/>
    <w:rsid w:val="51AA7C26"/>
    <w:rsid w:val="52A6353F"/>
    <w:rsid w:val="53F46E80"/>
    <w:rsid w:val="5B4713BE"/>
    <w:rsid w:val="5F3B3DAE"/>
    <w:rsid w:val="6837094E"/>
    <w:rsid w:val="68DA34BA"/>
    <w:rsid w:val="6B5E7060"/>
    <w:rsid w:val="6B7E316A"/>
    <w:rsid w:val="6C000D94"/>
    <w:rsid w:val="6CCA76C7"/>
    <w:rsid w:val="744B0DB1"/>
    <w:rsid w:val="74C41349"/>
    <w:rsid w:val="75D71F7F"/>
    <w:rsid w:val="7A5247FC"/>
    <w:rsid w:val="7A8914E2"/>
    <w:rsid w:val="7AFD45A8"/>
    <w:rsid w:val="7E6A01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qFormat="1"/>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Body Text Indent 2" w:semiHidden="0" w:uiPriority="0" w:unhideWhenUsed="0" w:qFormat="1"/>
    <w:lsdException w:name="Hyperlink" w:semiHidden="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Char"/>
    <w:uiPriority w:val="99"/>
    <w:semiHidden/>
    <w:unhideWhenUsed/>
    <w:qFormat/>
    <w:pPr>
      <w:jc w:val="left"/>
    </w:pPr>
  </w:style>
  <w:style w:type="paragraph" w:styleId="a5">
    <w:name w:val="Date"/>
    <w:basedOn w:val="a0"/>
    <w:next w:val="a0"/>
    <w:link w:val="Char0"/>
    <w:uiPriority w:val="99"/>
    <w:semiHidden/>
    <w:unhideWhenUsed/>
    <w:qFormat/>
    <w:pPr>
      <w:ind w:leftChars="2500" w:left="100"/>
    </w:pPr>
  </w:style>
  <w:style w:type="paragraph" w:styleId="2">
    <w:name w:val="Body Text Indent 2"/>
    <w:basedOn w:val="a0"/>
    <w:link w:val="2Char"/>
    <w:qFormat/>
    <w:pPr>
      <w:spacing w:line="288" w:lineRule="auto"/>
      <w:ind w:firstLine="435"/>
    </w:pPr>
    <w:rPr>
      <w:rFonts w:ascii="Times New Roman" w:eastAsia="宋体" w:hAnsi="Times New Roman" w:cs="Times New Roman"/>
      <w:szCs w:val="21"/>
    </w:rPr>
  </w:style>
  <w:style w:type="paragraph" w:styleId="a6">
    <w:name w:val="Balloon Text"/>
    <w:basedOn w:val="a0"/>
    <w:link w:val="Char1"/>
    <w:uiPriority w:val="99"/>
    <w:semiHidden/>
    <w:unhideWhenUsed/>
    <w:qFormat/>
    <w:rPr>
      <w:sz w:val="18"/>
      <w:szCs w:val="18"/>
    </w:rPr>
  </w:style>
  <w:style w:type="paragraph" w:styleId="a7">
    <w:name w:val="footer"/>
    <w:basedOn w:val="a0"/>
    <w:link w:val="Char2"/>
    <w:uiPriority w:val="99"/>
    <w:unhideWhenUsed/>
    <w:qFormat/>
    <w:pPr>
      <w:tabs>
        <w:tab w:val="center" w:pos="4153"/>
        <w:tab w:val="right" w:pos="8306"/>
      </w:tabs>
      <w:snapToGrid w:val="0"/>
      <w:jc w:val="left"/>
    </w:pPr>
    <w:rPr>
      <w:sz w:val="18"/>
      <w:szCs w:val="18"/>
    </w:rPr>
  </w:style>
  <w:style w:type="paragraph" w:styleId="a8">
    <w:name w:val="header"/>
    <w:basedOn w:val="a0"/>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
    <w:name w:val="footnote text"/>
    <w:basedOn w:val="a0"/>
    <w:link w:val="Char4"/>
    <w:qFormat/>
    <w:pPr>
      <w:numPr>
        <w:numId w:val="1"/>
      </w:numPr>
      <w:snapToGrid w:val="0"/>
      <w:jc w:val="left"/>
    </w:pPr>
    <w:rPr>
      <w:rFonts w:ascii="宋体" w:eastAsia="宋体" w:hAnsi="Times New Roman" w:cs="Times New Roman"/>
      <w:sz w:val="18"/>
      <w:szCs w:val="18"/>
    </w:rPr>
  </w:style>
  <w:style w:type="paragraph" w:styleId="a9">
    <w:name w:val="annotation subject"/>
    <w:basedOn w:val="a4"/>
    <w:next w:val="a4"/>
    <w:link w:val="Char5"/>
    <w:uiPriority w:val="99"/>
    <w:semiHidden/>
    <w:unhideWhenUsed/>
    <w:qFormat/>
    <w:rPr>
      <w:b/>
      <w:bCs/>
    </w:rPr>
  </w:style>
  <w:style w:type="character" w:styleId="aa">
    <w:name w:val="Hyperlink"/>
    <w:basedOn w:val="a1"/>
    <w:uiPriority w:val="99"/>
    <w:unhideWhenUsed/>
    <w:qFormat/>
    <w:rPr>
      <w:color w:val="0000FF" w:themeColor="hyperlink"/>
      <w:u w:val="single"/>
    </w:rPr>
  </w:style>
  <w:style w:type="character" w:styleId="ab">
    <w:name w:val="annotation reference"/>
    <w:basedOn w:val="a1"/>
    <w:uiPriority w:val="99"/>
    <w:semiHidden/>
    <w:unhideWhenUsed/>
    <w:qFormat/>
    <w:rPr>
      <w:sz w:val="21"/>
      <w:szCs w:val="21"/>
    </w:rPr>
  </w:style>
  <w:style w:type="paragraph" w:customStyle="1" w:styleId="1">
    <w:name w:val="列出段落1"/>
    <w:basedOn w:val="a0"/>
    <w:uiPriority w:val="99"/>
    <w:qFormat/>
    <w:pPr>
      <w:ind w:firstLineChars="200" w:firstLine="420"/>
    </w:pPr>
    <w:rPr>
      <w:rFonts w:ascii="Times New Roman" w:eastAsia="宋体" w:hAnsi="Times New Roman" w:cs="Times New Roman"/>
      <w:szCs w:val="21"/>
    </w:rPr>
  </w:style>
  <w:style w:type="character" w:customStyle="1" w:styleId="2Char">
    <w:name w:val="正文文本缩进 2 Char"/>
    <w:basedOn w:val="a1"/>
    <w:link w:val="2"/>
    <w:qFormat/>
    <w:rPr>
      <w:rFonts w:ascii="Times New Roman" w:eastAsia="宋体" w:hAnsi="Times New Roman" w:cs="Times New Roman"/>
      <w:szCs w:val="21"/>
    </w:rPr>
  </w:style>
  <w:style w:type="paragraph" w:styleId="ac">
    <w:name w:val="List Paragraph"/>
    <w:basedOn w:val="a0"/>
    <w:uiPriority w:val="34"/>
    <w:qFormat/>
    <w:pPr>
      <w:ind w:firstLineChars="200" w:firstLine="420"/>
    </w:pPr>
  </w:style>
  <w:style w:type="character" w:customStyle="1" w:styleId="Char3">
    <w:name w:val="页眉 Char"/>
    <w:basedOn w:val="a1"/>
    <w:link w:val="a8"/>
    <w:uiPriority w:val="99"/>
    <w:qFormat/>
    <w:rPr>
      <w:sz w:val="18"/>
      <w:szCs w:val="18"/>
    </w:rPr>
  </w:style>
  <w:style w:type="character" w:customStyle="1" w:styleId="Char2">
    <w:name w:val="页脚 Char"/>
    <w:basedOn w:val="a1"/>
    <w:link w:val="a7"/>
    <w:uiPriority w:val="99"/>
    <w:qFormat/>
    <w:rPr>
      <w:sz w:val="18"/>
      <w:szCs w:val="18"/>
    </w:rPr>
  </w:style>
  <w:style w:type="character" w:customStyle="1" w:styleId="Char1">
    <w:name w:val="批注框文本 Char"/>
    <w:basedOn w:val="a1"/>
    <w:link w:val="a6"/>
    <w:uiPriority w:val="99"/>
    <w:semiHidden/>
    <w:qFormat/>
    <w:rPr>
      <w:sz w:val="18"/>
      <w:szCs w:val="18"/>
    </w:rPr>
  </w:style>
  <w:style w:type="character" w:customStyle="1" w:styleId="Char0">
    <w:name w:val="日期 Char"/>
    <w:basedOn w:val="a1"/>
    <w:link w:val="a5"/>
    <w:uiPriority w:val="99"/>
    <w:semiHidden/>
    <w:qFormat/>
  </w:style>
  <w:style w:type="paragraph" w:customStyle="1" w:styleId="ad">
    <w:name w:val="附录标识"/>
    <w:basedOn w:val="a0"/>
    <w:next w:val="a0"/>
    <w:qFormat/>
    <w:pPr>
      <w:keepNext/>
      <w:widowControl/>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paragraph" w:customStyle="1" w:styleId="ae">
    <w:name w:val="段"/>
    <w:link w:val="Char6"/>
    <w:qFormat/>
    <w:pPr>
      <w:tabs>
        <w:tab w:val="center" w:pos="4201"/>
        <w:tab w:val="right" w:leader="dot" w:pos="9298"/>
      </w:tabs>
      <w:autoSpaceDE w:val="0"/>
      <w:autoSpaceDN w:val="0"/>
      <w:ind w:firstLineChars="200" w:firstLine="420"/>
      <w:jc w:val="both"/>
    </w:pPr>
    <w:rPr>
      <w:rFonts w:ascii="宋体"/>
      <w:sz w:val="21"/>
    </w:rPr>
  </w:style>
  <w:style w:type="character" w:customStyle="1" w:styleId="Char6">
    <w:name w:val="段 Char"/>
    <w:link w:val="ae"/>
    <w:qFormat/>
    <w:rPr>
      <w:rFonts w:ascii="宋体" w:eastAsia="宋体" w:hAnsi="Times New Roman" w:cs="Times New Roman"/>
      <w:sz w:val="21"/>
    </w:rPr>
  </w:style>
  <w:style w:type="paragraph" w:customStyle="1" w:styleId="af">
    <w:name w:val="一级条标题"/>
    <w:next w:val="ae"/>
    <w:qFormat/>
    <w:pPr>
      <w:spacing w:beforeLines="50" w:before="156" w:afterLines="50" w:after="156"/>
      <w:outlineLvl w:val="2"/>
    </w:pPr>
    <w:rPr>
      <w:rFonts w:ascii="黑体" w:eastAsia="黑体"/>
      <w:sz w:val="21"/>
      <w:szCs w:val="21"/>
    </w:rPr>
  </w:style>
  <w:style w:type="paragraph" w:customStyle="1" w:styleId="af0">
    <w:name w:val="二级条标题"/>
    <w:basedOn w:val="af"/>
    <w:next w:val="ae"/>
    <w:qFormat/>
    <w:pPr>
      <w:spacing w:before="50" w:after="50"/>
      <w:outlineLvl w:val="3"/>
    </w:pPr>
  </w:style>
  <w:style w:type="paragraph" w:customStyle="1" w:styleId="af1">
    <w:name w:val="章标题"/>
    <w:next w:val="ae"/>
    <w:qFormat/>
    <w:pPr>
      <w:spacing w:beforeLines="100" w:before="312" w:afterLines="100" w:after="312"/>
      <w:jc w:val="both"/>
      <w:outlineLvl w:val="1"/>
    </w:pPr>
    <w:rPr>
      <w:rFonts w:ascii="黑体" w:eastAsia="黑体"/>
      <w:sz w:val="21"/>
    </w:rPr>
  </w:style>
  <w:style w:type="paragraph" w:customStyle="1" w:styleId="af2">
    <w:name w:val="四级条标题"/>
    <w:basedOn w:val="af3"/>
    <w:next w:val="ae"/>
    <w:qFormat/>
    <w:pPr>
      <w:outlineLvl w:val="5"/>
    </w:pPr>
  </w:style>
  <w:style w:type="paragraph" w:customStyle="1" w:styleId="af3">
    <w:name w:val="三级条标题"/>
    <w:basedOn w:val="af0"/>
    <w:next w:val="ae"/>
    <w:qFormat/>
    <w:pPr>
      <w:outlineLvl w:val="4"/>
    </w:pPr>
  </w:style>
  <w:style w:type="paragraph" w:customStyle="1" w:styleId="af4">
    <w:name w:val="五级条标题"/>
    <w:basedOn w:val="af2"/>
    <w:next w:val="ae"/>
    <w:qFormat/>
    <w:pPr>
      <w:outlineLvl w:val="6"/>
    </w:pPr>
  </w:style>
  <w:style w:type="character" w:customStyle="1" w:styleId="Char4">
    <w:name w:val="脚注文本 Char"/>
    <w:basedOn w:val="a1"/>
    <w:link w:val="a"/>
    <w:qFormat/>
    <w:rPr>
      <w:rFonts w:ascii="宋体" w:eastAsia="宋体" w:hAnsi="Times New Roman" w:cs="Times New Roman"/>
      <w:kern w:val="2"/>
      <w:sz w:val="18"/>
      <w:szCs w:val="18"/>
    </w:rPr>
  </w:style>
  <w:style w:type="character" w:customStyle="1" w:styleId="Char">
    <w:name w:val="批注文字 Char"/>
    <w:basedOn w:val="a1"/>
    <w:link w:val="a4"/>
    <w:uiPriority w:val="99"/>
    <w:semiHidden/>
    <w:qFormat/>
    <w:rPr>
      <w:kern w:val="2"/>
      <w:sz w:val="21"/>
      <w:szCs w:val="22"/>
    </w:rPr>
  </w:style>
  <w:style w:type="character" w:customStyle="1" w:styleId="Char5">
    <w:name w:val="批注主题 Char"/>
    <w:basedOn w:val="Char"/>
    <w:link w:val="a9"/>
    <w:uiPriority w:val="99"/>
    <w:semiHidden/>
    <w:qFormat/>
    <w:rPr>
      <w:b/>
      <w:bCs/>
      <w:kern w:val="2"/>
      <w:sz w:val="21"/>
      <w:szCs w:val="22"/>
    </w:rPr>
  </w:style>
  <w:style w:type="character" w:customStyle="1" w:styleId="Bodytext1">
    <w:name w:val="Body text|1_"/>
    <w:basedOn w:val="a1"/>
    <w:link w:val="Bodytext10"/>
    <w:qFormat/>
    <w:rPr>
      <w:rFonts w:ascii="宋体" w:hAnsi="宋体" w:cs="宋体"/>
      <w:lang w:val="zh-TW" w:eastAsia="zh-TW" w:bidi="zh-TW"/>
    </w:rPr>
  </w:style>
  <w:style w:type="paragraph" w:customStyle="1" w:styleId="Bodytext10">
    <w:name w:val="Body text|1"/>
    <w:basedOn w:val="a0"/>
    <w:link w:val="Bodytext1"/>
    <w:qFormat/>
    <w:pPr>
      <w:spacing w:after="60" w:line="326" w:lineRule="auto"/>
      <w:ind w:firstLine="400"/>
      <w:jc w:val="left"/>
    </w:pPr>
    <w:rPr>
      <w:rFonts w:ascii="宋体" w:hAnsi="宋体" w:cs="宋体"/>
      <w:kern w:val="0"/>
      <w:sz w:val="20"/>
      <w:szCs w:val="20"/>
      <w:lang w:val="zh-TW" w:eastAsia="zh-TW" w:bidi="zh-TW"/>
    </w:rPr>
  </w:style>
  <w:style w:type="paragraph" w:customStyle="1" w:styleId="af5">
    <w:name w:val="二级无"/>
    <w:basedOn w:val="af0"/>
    <w:qFormat/>
    <w:pPr>
      <w:widowControl w:val="0"/>
      <w:tabs>
        <w:tab w:val="left" w:pos="0"/>
      </w:tabs>
      <w:spacing w:beforeLines="0" w:before="0" w:afterLines="0" w:after="0"/>
    </w:pPr>
    <w:rPr>
      <w:rFonts w:ascii="宋体" w:eastAsia="宋体" w:hAnsi="黑体"/>
    </w:rPr>
  </w:style>
  <w:style w:type="paragraph" w:customStyle="1" w:styleId="af6">
    <w:name w:val="列项——（一级）"/>
    <w:qFormat/>
    <w:pPr>
      <w:widowControl w:val="0"/>
      <w:jc w:val="both"/>
    </w:pPr>
    <w:rPr>
      <w:rFonts w:ascii="宋体"/>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qFormat="1"/>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Body Text Indent 2" w:semiHidden="0" w:uiPriority="0" w:unhideWhenUsed="0" w:qFormat="1"/>
    <w:lsdException w:name="Hyperlink" w:semiHidden="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annotation text"/>
    <w:basedOn w:val="a0"/>
    <w:link w:val="Char"/>
    <w:uiPriority w:val="99"/>
    <w:semiHidden/>
    <w:unhideWhenUsed/>
    <w:qFormat/>
    <w:pPr>
      <w:jc w:val="left"/>
    </w:pPr>
  </w:style>
  <w:style w:type="paragraph" w:styleId="a5">
    <w:name w:val="Date"/>
    <w:basedOn w:val="a0"/>
    <w:next w:val="a0"/>
    <w:link w:val="Char0"/>
    <w:uiPriority w:val="99"/>
    <w:semiHidden/>
    <w:unhideWhenUsed/>
    <w:qFormat/>
    <w:pPr>
      <w:ind w:leftChars="2500" w:left="100"/>
    </w:pPr>
  </w:style>
  <w:style w:type="paragraph" w:styleId="2">
    <w:name w:val="Body Text Indent 2"/>
    <w:basedOn w:val="a0"/>
    <w:link w:val="2Char"/>
    <w:qFormat/>
    <w:pPr>
      <w:spacing w:line="288" w:lineRule="auto"/>
      <w:ind w:firstLine="435"/>
    </w:pPr>
    <w:rPr>
      <w:rFonts w:ascii="Times New Roman" w:eastAsia="宋体" w:hAnsi="Times New Roman" w:cs="Times New Roman"/>
      <w:szCs w:val="21"/>
    </w:rPr>
  </w:style>
  <w:style w:type="paragraph" w:styleId="a6">
    <w:name w:val="Balloon Text"/>
    <w:basedOn w:val="a0"/>
    <w:link w:val="Char1"/>
    <w:uiPriority w:val="99"/>
    <w:semiHidden/>
    <w:unhideWhenUsed/>
    <w:qFormat/>
    <w:rPr>
      <w:sz w:val="18"/>
      <w:szCs w:val="18"/>
    </w:rPr>
  </w:style>
  <w:style w:type="paragraph" w:styleId="a7">
    <w:name w:val="footer"/>
    <w:basedOn w:val="a0"/>
    <w:link w:val="Char2"/>
    <w:uiPriority w:val="99"/>
    <w:unhideWhenUsed/>
    <w:qFormat/>
    <w:pPr>
      <w:tabs>
        <w:tab w:val="center" w:pos="4153"/>
        <w:tab w:val="right" w:pos="8306"/>
      </w:tabs>
      <w:snapToGrid w:val="0"/>
      <w:jc w:val="left"/>
    </w:pPr>
    <w:rPr>
      <w:sz w:val="18"/>
      <w:szCs w:val="18"/>
    </w:rPr>
  </w:style>
  <w:style w:type="paragraph" w:styleId="a8">
    <w:name w:val="header"/>
    <w:basedOn w:val="a0"/>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a">
    <w:name w:val="footnote text"/>
    <w:basedOn w:val="a0"/>
    <w:link w:val="Char4"/>
    <w:qFormat/>
    <w:pPr>
      <w:numPr>
        <w:numId w:val="1"/>
      </w:numPr>
      <w:snapToGrid w:val="0"/>
      <w:jc w:val="left"/>
    </w:pPr>
    <w:rPr>
      <w:rFonts w:ascii="宋体" w:eastAsia="宋体" w:hAnsi="Times New Roman" w:cs="Times New Roman"/>
      <w:sz w:val="18"/>
      <w:szCs w:val="18"/>
    </w:rPr>
  </w:style>
  <w:style w:type="paragraph" w:styleId="a9">
    <w:name w:val="annotation subject"/>
    <w:basedOn w:val="a4"/>
    <w:next w:val="a4"/>
    <w:link w:val="Char5"/>
    <w:uiPriority w:val="99"/>
    <w:semiHidden/>
    <w:unhideWhenUsed/>
    <w:qFormat/>
    <w:rPr>
      <w:b/>
      <w:bCs/>
    </w:rPr>
  </w:style>
  <w:style w:type="character" w:styleId="aa">
    <w:name w:val="Hyperlink"/>
    <w:basedOn w:val="a1"/>
    <w:uiPriority w:val="99"/>
    <w:unhideWhenUsed/>
    <w:qFormat/>
    <w:rPr>
      <w:color w:val="0000FF" w:themeColor="hyperlink"/>
      <w:u w:val="single"/>
    </w:rPr>
  </w:style>
  <w:style w:type="character" w:styleId="ab">
    <w:name w:val="annotation reference"/>
    <w:basedOn w:val="a1"/>
    <w:uiPriority w:val="99"/>
    <w:semiHidden/>
    <w:unhideWhenUsed/>
    <w:qFormat/>
    <w:rPr>
      <w:sz w:val="21"/>
      <w:szCs w:val="21"/>
    </w:rPr>
  </w:style>
  <w:style w:type="paragraph" w:customStyle="1" w:styleId="1">
    <w:name w:val="列出段落1"/>
    <w:basedOn w:val="a0"/>
    <w:uiPriority w:val="99"/>
    <w:qFormat/>
    <w:pPr>
      <w:ind w:firstLineChars="200" w:firstLine="420"/>
    </w:pPr>
    <w:rPr>
      <w:rFonts w:ascii="Times New Roman" w:eastAsia="宋体" w:hAnsi="Times New Roman" w:cs="Times New Roman"/>
      <w:szCs w:val="21"/>
    </w:rPr>
  </w:style>
  <w:style w:type="character" w:customStyle="1" w:styleId="2Char">
    <w:name w:val="正文文本缩进 2 Char"/>
    <w:basedOn w:val="a1"/>
    <w:link w:val="2"/>
    <w:qFormat/>
    <w:rPr>
      <w:rFonts w:ascii="Times New Roman" w:eastAsia="宋体" w:hAnsi="Times New Roman" w:cs="Times New Roman"/>
      <w:szCs w:val="21"/>
    </w:rPr>
  </w:style>
  <w:style w:type="paragraph" w:styleId="ac">
    <w:name w:val="List Paragraph"/>
    <w:basedOn w:val="a0"/>
    <w:uiPriority w:val="34"/>
    <w:qFormat/>
    <w:pPr>
      <w:ind w:firstLineChars="200" w:firstLine="420"/>
    </w:pPr>
  </w:style>
  <w:style w:type="character" w:customStyle="1" w:styleId="Char3">
    <w:name w:val="页眉 Char"/>
    <w:basedOn w:val="a1"/>
    <w:link w:val="a8"/>
    <w:uiPriority w:val="99"/>
    <w:qFormat/>
    <w:rPr>
      <w:sz w:val="18"/>
      <w:szCs w:val="18"/>
    </w:rPr>
  </w:style>
  <w:style w:type="character" w:customStyle="1" w:styleId="Char2">
    <w:name w:val="页脚 Char"/>
    <w:basedOn w:val="a1"/>
    <w:link w:val="a7"/>
    <w:uiPriority w:val="99"/>
    <w:qFormat/>
    <w:rPr>
      <w:sz w:val="18"/>
      <w:szCs w:val="18"/>
    </w:rPr>
  </w:style>
  <w:style w:type="character" w:customStyle="1" w:styleId="Char1">
    <w:name w:val="批注框文本 Char"/>
    <w:basedOn w:val="a1"/>
    <w:link w:val="a6"/>
    <w:uiPriority w:val="99"/>
    <w:semiHidden/>
    <w:qFormat/>
    <w:rPr>
      <w:sz w:val="18"/>
      <w:szCs w:val="18"/>
    </w:rPr>
  </w:style>
  <w:style w:type="character" w:customStyle="1" w:styleId="Char0">
    <w:name w:val="日期 Char"/>
    <w:basedOn w:val="a1"/>
    <w:link w:val="a5"/>
    <w:uiPriority w:val="99"/>
    <w:semiHidden/>
    <w:qFormat/>
  </w:style>
  <w:style w:type="paragraph" w:customStyle="1" w:styleId="ad">
    <w:name w:val="附录标识"/>
    <w:basedOn w:val="a0"/>
    <w:next w:val="a0"/>
    <w:qFormat/>
    <w:pPr>
      <w:keepNext/>
      <w:widowControl/>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paragraph" w:customStyle="1" w:styleId="ae">
    <w:name w:val="段"/>
    <w:link w:val="Char6"/>
    <w:qFormat/>
    <w:pPr>
      <w:tabs>
        <w:tab w:val="center" w:pos="4201"/>
        <w:tab w:val="right" w:leader="dot" w:pos="9298"/>
      </w:tabs>
      <w:autoSpaceDE w:val="0"/>
      <w:autoSpaceDN w:val="0"/>
      <w:ind w:firstLineChars="200" w:firstLine="420"/>
      <w:jc w:val="both"/>
    </w:pPr>
    <w:rPr>
      <w:rFonts w:ascii="宋体"/>
      <w:sz w:val="21"/>
    </w:rPr>
  </w:style>
  <w:style w:type="character" w:customStyle="1" w:styleId="Char6">
    <w:name w:val="段 Char"/>
    <w:link w:val="ae"/>
    <w:qFormat/>
    <w:rPr>
      <w:rFonts w:ascii="宋体" w:eastAsia="宋体" w:hAnsi="Times New Roman" w:cs="Times New Roman"/>
      <w:sz w:val="21"/>
    </w:rPr>
  </w:style>
  <w:style w:type="paragraph" w:customStyle="1" w:styleId="af">
    <w:name w:val="一级条标题"/>
    <w:next w:val="ae"/>
    <w:qFormat/>
    <w:pPr>
      <w:spacing w:beforeLines="50" w:before="156" w:afterLines="50" w:after="156"/>
      <w:outlineLvl w:val="2"/>
    </w:pPr>
    <w:rPr>
      <w:rFonts w:ascii="黑体" w:eastAsia="黑体"/>
      <w:sz w:val="21"/>
      <w:szCs w:val="21"/>
    </w:rPr>
  </w:style>
  <w:style w:type="paragraph" w:customStyle="1" w:styleId="af0">
    <w:name w:val="二级条标题"/>
    <w:basedOn w:val="af"/>
    <w:next w:val="ae"/>
    <w:qFormat/>
    <w:pPr>
      <w:spacing w:before="50" w:after="50"/>
      <w:outlineLvl w:val="3"/>
    </w:pPr>
  </w:style>
  <w:style w:type="paragraph" w:customStyle="1" w:styleId="af1">
    <w:name w:val="章标题"/>
    <w:next w:val="ae"/>
    <w:qFormat/>
    <w:pPr>
      <w:spacing w:beforeLines="100" w:before="312" w:afterLines="100" w:after="312"/>
      <w:jc w:val="both"/>
      <w:outlineLvl w:val="1"/>
    </w:pPr>
    <w:rPr>
      <w:rFonts w:ascii="黑体" w:eastAsia="黑体"/>
      <w:sz w:val="21"/>
    </w:rPr>
  </w:style>
  <w:style w:type="paragraph" w:customStyle="1" w:styleId="af2">
    <w:name w:val="四级条标题"/>
    <w:basedOn w:val="af3"/>
    <w:next w:val="ae"/>
    <w:qFormat/>
    <w:pPr>
      <w:outlineLvl w:val="5"/>
    </w:pPr>
  </w:style>
  <w:style w:type="paragraph" w:customStyle="1" w:styleId="af3">
    <w:name w:val="三级条标题"/>
    <w:basedOn w:val="af0"/>
    <w:next w:val="ae"/>
    <w:qFormat/>
    <w:pPr>
      <w:outlineLvl w:val="4"/>
    </w:pPr>
  </w:style>
  <w:style w:type="paragraph" w:customStyle="1" w:styleId="af4">
    <w:name w:val="五级条标题"/>
    <w:basedOn w:val="af2"/>
    <w:next w:val="ae"/>
    <w:qFormat/>
    <w:pPr>
      <w:outlineLvl w:val="6"/>
    </w:pPr>
  </w:style>
  <w:style w:type="character" w:customStyle="1" w:styleId="Char4">
    <w:name w:val="脚注文本 Char"/>
    <w:basedOn w:val="a1"/>
    <w:link w:val="a"/>
    <w:qFormat/>
    <w:rPr>
      <w:rFonts w:ascii="宋体" w:eastAsia="宋体" w:hAnsi="Times New Roman" w:cs="Times New Roman"/>
      <w:kern w:val="2"/>
      <w:sz w:val="18"/>
      <w:szCs w:val="18"/>
    </w:rPr>
  </w:style>
  <w:style w:type="character" w:customStyle="1" w:styleId="Char">
    <w:name w:val="批注文字 Char"/>
    <w:basedOn w:val="a1"/>
    <w:link w:val="a4"/>
    <w:uiPriority w:val="99"/>
    <w:semiHidden/>
    <w:qFormat/>
    <w:rPr>
      <w:kern w:val="2"/>
      <w:sz w:val="21"/>
      <w:szCs w:val="22"/>
    </w:rPr>
  </w:style>
  <w:style w:type="character" w:customStyle="1" w:styleId="Char5">
    <w:name w:val="批注主题 Char"/>
    <w:basedOn w:val="Char"/>
    <w:link w:val="a9"/>
    <w:uiPriority w:val="99"/>
    <w:semiHidden/>
    <w:qFormat/>
    <w:rPr>
      <w:b/>
      <w:bCs/>
      <w:kern w:val="2"/>
      <w:sz w:val="21"/>
      <w:szCs w:val="22"/>
    </w:rPr>
  </w:style>
  <w:style w:type="character" w:customStyle="1" w:styleId="Bodytext1">
    <w:name w:val="Body text|1_"/>
    <w:basedOn w:val="a1"/>
    <w:link w:val="Bodytext10"/>
    <w:qFormat/>
    <w:rPr>
      <w:rFonts w:ascii="宋体" w:hAnsi="宋体" w:cs="宋体"/>
      <w:lang w:val="zh-TW" w:eastAsia="zh-TW" w:bidi="zh-TW"/>
    </w:rPr>
  </w:style>
  <w:style w:type="paragraph" w:customStyle="1" w:styleId="Bodytext10">
    <w:name w:val="Body text|1"/>
    <w:basedOn w:val="a0"/>
    <w:link w:val="Bodytext1"/>
    <w:qFormat/>
    <w:pPr>
      <w:spacing w:after="60" w:line="326" w:lineRule="auto"/>
      <w:ind w:firstLine="400"/>
      <w:jc w:val="left"/>
    </w:pPr>
    <w:rPr>
      <w:rFonts w:ascii="宋体" w:hAnsi="宋体" w:cs="宋体"/>
      <w:kern w:val="0"/>
      <w:sz w:val="20"/>
      <w:szCs w:val="20"/>
      <w:lang w:val="zh-TW" w:eastAsia="zh-TW" w:bidi="zh-TW"/>
    </w:rPr>
  </w:style>
  <w:style w:type="paragraph" w:customStyle="1" w:styleId="af5">
    <w:name w:val="二级无"/>
    <w:basedOn w:val="af0"/>
    <w:qFormat/>
    <w:pPr>
      <w:widowControl w:val="0"/>
      <w:tabs>
        <w:tab w:val="left" w:pos="0"/>
      </w:tabs>
      <w:spacing w:beforeLines="0" w:before="0" w:afterLines="0" w:after="0"/>
    </w:pPr>
    <w:rPr>
      <w:rFonts w:ascii="宋体" w:eastAsia="宋体" w:hAnsi="黑体"/>
    </w:rPr>
  </w:style>
  <w:style w:type="paragraph" w:customStyle="1" w:styleId="af6">
    <w:name w:val="列项——（一级）"/>
    <w:qFormat/>
    <w:pPr>
      <w:widowControl w:val="0"/>
      <w:jc w:val="both"/>
    </w:pPr>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2305C9-8ED5-41DD-8869-EAF078408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566</Words>
  <Characters>3230</Characters>
  <Application>Microsoft Office Word</Application>
  <DocSecurity>0</DocSecurity>
  <Lines>26</Lines>
  <Paragraphs>7</Paragraphs>
  <ScaleCrop>false</ScaleCrop>
  <Company>Microsoft</Company>
  <LinksUpToDate>false</LinksUpToDate>
  <CharactersWithSpaces>3789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dc:creator>
  <cp:lastModifiedBy>TONY TANG</cp:lastModifiedBy>
  <cp:revision>36</cp:revision>
  <cp:lastPrinted>2021-10-27T11:44:00Z</cp:lastPrinted>
  <dcterms:created xsi:type="dcterms:W3CDTF">2021-10-08T04:53:00Z</dcterms:created>
  <dcterms:modified xsi:type="dcterms:W3CDTF">2022-04-13T08:04:00Z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