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F1" w:rsidRDefault="008410F1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Theme="minorEastAsia"/>
          <w:sz w:val="28"/>
          <w:szCs w:val="28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4"/>
          <w:szCs w:val="44"/>
        </w:rPr>
      </w:pPr>
    </w:p>
    <w:p w:rsidR="008410F1" w:rsidRDefault="00FF7205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distribute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绿色食品生产操作规程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 xml:space="preserve">LB/T </w:t>
      </w:r>
      <w:r w:rsidR="00092C56">
        <w:rPr>
          <w:rFonts w:eastAsia="黑体" w:hint="eastAsia"/>
          <w:sz w:val="28"/>
          <w:szCs w:val="28"/>
        </w:rPr>
        <w:t>214</w:t>
      </w:r>
      <w:r>
        <w:rPr>
          <w:rFonts w:eastAsia="黑体"/>
          <w:sz w:val="28"/>
          <w:szCs w:val="28"/>
        </w:rPr>
        <w:t>-20</w:t>
      </w:r>
      <w:r w:rsidR="00092C56">
        <w:rPr>
          <w:rFonts w:eastAsia="黑体" w:hint="eastAsia"/>
          <w:sz w:val="28"/>
          <w:szCs w:val="28"/>
        </w:rPr>
        <w:t>22</w:t>
      </w:r>
    </w:p>
    <w:p w:rsidR="008410F1" w:rsidRDefault="000F688A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right"/>
        <w:rPr>
          <w:rFonts w:eastAsia="黑体"/>
          <w:sz w:val="28"/>
          <w:szCs w:val="28"/>
        </w:rPr>
      </w:pPr>
      <w:r>
        <w:rPr>
          <w:rFonts w:eastAsia="黑体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12.6pt;margin-top:6pt;width:407.4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"/>
        </w:pict>
      </w: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58708B" w:rsidRDefault="00FF7205" w:rsidP="00092C56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华南地区</w:t>
      </w:r>
      <w:r>
        <w:rPr>
          <w:rFonts w:eastAsia="黑体"/>
          <w:sz w:val="48"/>
          <w:szCs w:val="48"/>
        </w:rPr>
        <w:t xml:space="preserve"> </w:t>
      </w:r>
      <w:r>
        <w:rPr>
          <w:rFonts w:eastAsia="黑体"/>
          <w:sz w:val="48"/>
          <w:szCs w:val="48"/>
        </w:rPr>
        <w:t>绿色食品</w:t>
      </w:r>
      <w:r w:rsidR="0058708B">
        <w:rPr>
          <w:rFonts w:eastAsia="黑体" w:hint="eastAsia"/>
          <w:sz w:val="48"/>
          <w:szCs w:val="48"/>
        </w:rPr>
        <w:t>露地小白菜</w:t>
      </w:r>
      <w:r>
        <w:rPr>
          <w:rFonts w:eastAsia="黑体"/>
          <w:sz w:val="48"/>
          <w:szCs w:val="48"/>
        </w:rPr>
        <w:t>生产</w:t>
      </w:r>
    </w:p>
    <w:p w:rsidR="008410F1" w:rsidRDefault="00FF7205" w:rsidP="00092C56">
      <w:pPr>
        <w:pStyle w:val="1"/>
        <w:spacing w:beforeLines="50" w:before="156" w:afterLines="50" w:after="156" w:line="360" w:lineRule="auto"/>
        <w:ind w:left="357" w:firstLineChars="0" w:firstLine="0"/>
        <w:contextualSpacing/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操作规程</w:t>
      </w: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</w:p>
    <w:p w:rsidR="008410F1" w:rsidRDefault="00342263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22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04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11</w:t>
      </w:r>
      <w:r w:rsidR="00FF7205">
        <w:rPr>
          <w:rFonts w:eastAsia="黑体"/>
          <w:sz w:val="28"/>
          <w:szCs w:val="28"/>
        </w:rPr>
        <w:t>发布</w:t>
      </w:r>
      <w:r>
        <w:rPr>
          <w:rFonts w:eastAsia="黑体"/>
          <w:sz w:val="28"/>
          <w:szCs w:val="28"/>
        </w:rPr>
        <w:t xml:space="preserve">              </w:t>
      </w:r>
      <w:r>
        <w:rPr>
          <w:rFonts w:eastAsia="黑体" w:hint="eastAsia"/>
          <w:sz w:val="28"/>
          <w:szCs w:val="28"/>
        </w:rPr>
        <w:t xml:space="preserve">             </w:t>
      </w:r>
      <w:r>
        <w:rPr>
          <w:rFonts w:eastAsia="黑体"/>
          <w:sz w:val="28"/>
          <w:szCs w:val="28"/>
        </w:rPr>
        <w:t>20</w:t>
      </w:r>
      <w:r>
        <w:rPr>
          <w:rFonts w:eastAsia="黑体" w:hint="eastAsia"/>
          <w:sz w:val="28"/>
          <w:szCs w:val="28"/>
        </w:rPr>
        <w:t>22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04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15</w:t>
      </w:r>
      <w:r w:rsidR="00FF7205">
        <w:rPr>
          <w:rFonts w:eastAsia="黑体"/>
          <w:sz w:val="28"/>
          <w:szCs w:val="28"/>
        </w:rPr>
        <w:t>实施</w:t>
      </w:r>
    </w:p>
    <w:p w:rsidR="008410F1" w:rsidRDefault="000F688A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left"/>
        <w:rPr>
          <w:rFonts w:eastAsia="黑体"/>
          <w:sz w:val="24"/>
          <w:szCs w:val="24"/>
        </w:rPr>
      </w:pPr>
      <w:r>
        <w:rPr>
          <w:rFonts w:eastAsia="黑体"/>
          <w:noProof/>
          <w:sz w:val="24"/>
          <w:szCs w:val="24"/>
        </w:rPr>
        <w:pict>
          <v:shape id="AutoShape 2" o:spid="_x0000_s1027" type="#_x0000_t32" style="position:absolute;left:0;text-align:left;margin-left:16.2pt;margin-top:9pt;width:382.2pt;height:1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"/>
        </w:pic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  <w:r>
        <w:rPr>
          <w:rFonts w:eastAsia="华文中宋"/>
          <w:spacing w:val="71"/>
          <w:kern w:val="0"/>
          <w:sz w:val="32"/>
          <w:szCs w:val="32"/>
          <w:fitText w:val="4480" w:id="949554642"/>
        </w:rPr>
        <w:t>中国绿色食品发展中</w:t>
      </w:r>
      <w:r>
        <w:rPr>
          <w:rFonts w:eastAsia="华文中宋"/>
          <w:spacing w:val="1"/>
          <w:kern w:val="0"/>
          <w:sz w:val="32"/>
          <w:szCs w:val="32"/>
          <w:fitText w:val="4480" w:id="949554642"/>
        </w:rPr>
        <w:t>心</w:t>
      </w:r>
      <w:r>
        <w:rPr>
          <w:rFonts w:eastAsia="华文中宋"/>
          <w:kern w:val="0"/>
          <w:sz w:val="32"/>
          <w:szCs w:val="32"/>
        </w:rPr>
        <w:t xml:space="preserve">  </w:t>
      </w:r>
      <w:r>
        <w:rPr>
          <w:rFonts w:eastAsia="黑体"/>
          <w:sz w:val="28"/>
          <w:szCs w:val="28"/>
        </w:rPr>
        <w:t>发</w:t>
      </w:r>
      <w:r>
        <w:rPr>
          <w:rFonts w:eastAsia="黑体"/>
          <w:sz w:val="28"/>
          <w:szCs w:val="28"/>
        </w:rPr>
        <w:t xml:space="preserve"> </w:t>
      </w:r>
      <w:r>
        <w:rPr>
          <w:rFonts w:eastAsia="黑体"/>
          <w:sz w:val="28"/>
          <w:szCs w:val="28"/>
        </w:rPr>
        <w:t>布</w:t>
      </w: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28"/>
          <w:szCs w:val="28"/>
        </w:rPr>
      </w:pPr>
    </w:p>
    <w:p w:rsidR="008410F1" w:rsidRDefault="00FF7205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前</w:t>
      </w:r>
      <w:r>
        <w:rPr>
          <w:rFonts w:eastAsia="黑体"/>
          <w:sz w:val="32"/>
          <w:szCs w:val="32"/>
        </w:rPr>
        <w:t xml:space="preserve">  </w:t>
      </w:r>
      <w:r>
        <w:rPr>
          <w:rFonts w:eastAsia="黑体"/>
          <w:sz w:val="32"/>
          <w:szCs w:val="32"/>
        </w:rPr>
        <w:t>言</w:t>
      </w:r>
    </w:p>
    <w:p w:rsidR="009800F0" w:rsidRDefault="009800F0" w:rsidP="00092C56">
      <w:pPr>
        <w:pStyle w:val="1"/>
        <w:spacing w:beforeLines="50" w:before="156" w:afterLines="50" w:after="156" w:line="400" w:lineRule="atLeast"/>
        <w:contextualSpacing/>
        <w:jc w:val="left"/>
      </w:pPr>
      <w:r>
        <w:rPr>
          <w:rFonts w:hint="eastAsia"/>
        </w:rPr>
        <w:t>本规程由中国绿色食品发展中心提出并归口。</w:t>
      </w:r>
    </w:p>
    <w:p w:rsidR="009800F0" w:rsidRDefault="009800F0" w:rsidP="00092C56">
      <w:pPr>
        <w:pStyle w:val="1"/>
        <w:spacing w:beforeLines="50" w:before="156" w:afterLines="50" w:after="156" w:line="400" w:lineRule="atLeast"/>
        <w:contextualSpacing/>
        <w:jc w:val="left"/>
      </w:pPr>
      <w:r>
        <w:rPr>
          <w:rFonts w:hint="eastAsia"/>
        </w:rPr>
        <w:t>本规程起草单位：中国农业科学院蔬菜花卉研究所、广西农业科学院蔬菜研究所、全国农业技术推广服务中心、中国绿色食品发展中心、广东省农产品质</w:t>
      </w:r>
      <w:proofErr w:type="gramStart"/>
      <w:r>
        <w:rPr>
          <w:rFonts w:hint="eastAsia"/>
        </w:rPr>
        <w:t>量安全</w:t>
      </w:r>
      <w:proofErr w:type="gramEnd"/>
      <w:r>
        <w:rPr>
          <w:rFonts w:hint="eastAsia"/>
        </w:rPr>
        <w:t>中心、广西壮族自治区绿色食品发展站。</w:t>
      </w:r>
    </w:p>
    <w:p w:rsidR="008410F1" w:rsidRDefault="009800F0" w:rsidP="00092C56">
      <w:pPr>
        <w:pStyle w:val="1"/>
        <w:spacing w:beforeLines="50" w:before="156" w:afterLines="50" w:after="156" w:line="400" w:lineRule="atLeast"/>
        <w:contextualSpacing/>
        <w:jc w:val="left"/>
        <w:rPr>
          <w:sz w:val="28"/>
          <w:szCs w:val="28"/>
        </w:rPr>
      </w:pPr>
      <w:r>
        <w:rPr>
          <w:rFonts w:hint="eastAsia"/>
        </w:rPr>
        <w:t>本规程主要起草人：李衍素、陈振东、李</w:t>
      </w:r>
      <w:r>
        <w:rPr>
          <w:rFonts w:hint="eastAsia"/>
        </w:rPr>
        <w:t xml:space="preserve"> </w:t>
      </w:r>
      <w:r>
        <w:rPr>
          <w:rFonts w:hint="eastAsia"/>
        </w:rPr>
        <w:t>洋、谢学文、王娟娟、贺超兴、王</w:t>
      </w:r>
      <w:r>
        <w:rPr>
          <w:rFonts w:hint="eastAsia"/>
        </w:rPr>
        <w:t xml:space="preserve"> </w:t>
      </w:r>
      <w:r>
        <w:rPr>
          <w:rFonts w:hint="eastAsia"/>
        </w:rPr>
        <w:t>君、</w:t>
      </w:r>
      <w:proofErr w:type="gramStart"/>
      <w:r>
        <w:rPr>
          <w:rFonts w:hint="eastAsia"/>
        </w:rPr>
        <w:t>闫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妍</w:t>
      </w:r>
      <w:proofErr w:type="gramEnd"/>
      <w:r>
        <w:rPr>
          <w:rFonts w:hint="eastAsia"/>
        </w:rPr>
        <w:t>、孙敏涛、张</w:t>
      </w:r>
      <w:r>
        <w:rPr>
          <w:rFonts w:hint="eastAsia"/>
        </w:rPr>
        <w:t xml:space="preserve"> </w:t>
      </w:r>
      <w:r>
        <w:rPr>
          <w:rFonts w:hint="eastAsia"/>
        </w:rPr>
        <w:t>力、车江旅、陈</w:t>
      </w:r>
      <w:r>
        <w:rPr>
          <w:rFonts w:hint="eastAsia"/>
        </w:rPr>
        <w:t xml:space="preserve"> </w:t>
      </w:r>
      <w:r>
        <w:rPr>
          <w:rFonts w:hint="eastAsia"/>
        </w:rPr>
        <w:t>琴、马</w:t>
      </w:r>
      <w:r>
        <w:rPr>
          <w:rFonts w:hint="eastAsia"/>
        </w:rPr>
        <w:t xml:space="preserve"> </w:t>
      </w:r>
      <w:r>
        <w:rPr>
          <w:rFonts w:hint="eastAsia"/>
        </w:rPr>
        <w:t>雪、胡冠华、陆</w:t>
      </w:r>
      <w:r>
        <w:rPr>
          <w:rFonts w:hint="eastAsia"/>
        </w:rPr>
        <w:t xml:space="preserve"> </w:t>
      </w:r>
      <w:r>
        <w:rPr>
          <w:rFonts w:hint="eastAsia"/>
        </w:rPr>
        <w:t>燕。</w:t>
      </w: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rPr>
          <w:rFonts w:eastAsiaTheme="minorEastAsia"/>
          <w:sz w:val="28"/>
          <w:szCs w:val="28"/>
        </w:rPr>
      </w:pPr>
    </w:p>
    <w:p w:rsidR="008410F1" w:rsidRDefault="008410F1" w:rsidP="00092C56">
      <w:pPr>
        <w:pStyle w:val="1"/>
        <w:spacing w:beforeLines="50" w:before="156" w:afterLines="50" w:after="156" w:line="400" w:lineRule="atLeast"/>
        <w:ind w:firstLine="560"/>
        <w:contextualSpacing/>
        <w:jc w:val="left"/>
        <w:rPr>
          <w:sz w:val="28"/>
          <w:szCs w:val="28"/>
        </w:rPr>
        <w:sectPr w:rsidR="008410F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410F1" w:rsidRDefault="00FF7205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华南地区</w:t>
      </w:r>
      <w:r>
        <w:rPr>
          <w:rFonts w:eastAsia="黑体"/>
          <w:sz w:val="32"/>
          <w:szCs w:val="32"/>
        </w:rPr>
        <w:t xml:space="preserve"> </w:t>
      </w:r>
      <w:r>
        <w:rPr>
          <w:rFonts w:eastAsia="黑体"/>
          <w:sz w:val="32"/>
          <w:szCs w:val="32"/>
        </w:rPr>
        <w:t>绿色食品</w:t>
      </w:r>
      <w:r w:rsidR="00F30AA7">
        <w:rPr>
          <w:rFonts w:eastAsia="黑体" w:hint="eastAsia"/>
          <w:sz w:val="32"/>
          <w:szCs w:val="32"/>
        </w:rPr>
        <w:t>露地</w:t>
      </w:r>
      <w:r w:rsidR="00F30AA7">
        <w:rPr>
          <w:rFonts w:eastAsia="黑体"/>
          <w:sz w:val="32"/>
          <w:szCs w:val="32"/>
        </w:rPr>
        <w:t>小白菜</w:t>
      </w:r>
      <w:r>
        <w:rPr>
          <w:rFonts w:eastAsia="黑体"/>
          <w:sz w:val="32"/>
          <w:szCs w:val="32"/>
        </w:rPr>
        <w:t>生产操作规程</w:t>
      </w:r>
    </w:p>
    <w:p w:rsidR="008410F1" w:rsidRDefault="008410F1" w:rsidP="00092C56">
      <w:pPr>
        <w:pStyle w:val="1"/>
        <w:spacing w:beforeLines="50" w:before="156" w:afterLines="50" w:after="156" w:line="400" w:lineRule="atLeast"/>
        <w:ind w:left="357" w:firstLineChars="0" w:firstLine="0"/>
        <w:contextualSpacing/>
        <w:jc w:val="center"/>
        <w:rPr>
          <w:rFonts w:eastAsiaTheme="minorEastAsia"/>
          <w:sz w:val="28"/>
          <w:szCs w:val="28"/>
        </w:rPr>
      </w:pP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1 </w:t>
      </w:r>
      <w:r>
        <w:rPr>
          <w:rFonts w:eastAsia="黑体"/>
        </w:rPr>
        <w:t>范围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本规程规定了华南地区绿色食品</w:t>
      </w:r>
      <w:r w:rsidR="00F30AA7">
        <w:t>小白菜</w:t>
      </w:r>
      <w:r>
        <w:t>生产的产地环境、品种选择、整地与基肥、播种育苗定植、田间管理、采收、生产废弃物处理、包装运输储藏、生产档案管理。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  <w:rPr>
          <w:b/>
          <w:color w:val="FF0000"/>
        </w:rPr>
      </w:pPr>
      <w:r>
        <w:t>本规程适用于广东省、广西壮族自治区、海南省等华南</w:t>
      </w:r>
      <w:bookmarkStart w:id="0" w:name="_GoBack"/>
      <w:bookmarkEnd w:id="0"/>
      <w:r>
        <w:t>地区绿色食品</w:t>
      </w:r>
      <w:r w:rsidR="00F30AA7">
        <w:t>小白菜</w:t>
      </w:r>
      <w:r>
        <w:t>（十字花科</w:t>
      </w:r>
      <w:proofErr w:type="gramStart"/>
      <w:r>
        <w:t>芸薹属芸薹种</w:t>
      </w:r>
      <w:proofErr w:type="gramEnd"/>
      <w:r>
        <w:t>白菜亚种（</w:t>
      </w:r>
      <w:r>
        <w:rPr>
          <w:i/>
          <w:iCs/>
        </w:rPr>
        <w:t xml:space="preserve">Brassica </w:t>
      </w:r>
      <w:proofErr w:type="spellStart"/>
      <w:r>
        <w:rPr>
          <w:i/>
          <w:iCs/>
        </w:rPr>
        <w:t>rapa</w:t>
      </w:r>
      <w:proofErr w:type="spellEnd"/>
      <w:r>
        <w:t xml:space="preserve"> L. ssp. </w:t>
      </w:r>
      <w:proofErr w:type="spellStart"/>
      <w:r>
        <w:rPr>
          <w:i/>
          <w:iCs/>
        </w:rPr>
        <w:t>chinensis</w:t>
      </w:r>
      <w:proofErr w:type="spellEnd"/>
      <w:r w:rsidR="00BC01AD">
        <w:rPr>
          <w:rFonts w:hint="eastAsia"/>
        </w:rPr>
        <w:t>），</w:t>
      </w:r>
      <w:r>
        <w:t>不结球白菜、瓢儿白、瓢儿菜、上海青、上海白菜、苏州青、油菜、汤匙菜、花瓶菜等）的生产，其他地区可借鉴使用。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2 </w:t>
      </w:r>
      <w:r>
        <w:rPr>
          <w:rFonts w:eastAsia="黑体"/>
        </w:rPr>
        <w:t>规范性引用文件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 xml:space="preserve">GB 16715.2 </w:t>
      </w:r>
      <w:r>
        <w:t>瓜菜作物种子</w:t>
      </w:r>
      <w:r>
        <w:t xml:space="preserve"> </w:t>
      </w:r>
      <w:r>
        <w:t>第二部分：白菜类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 xml:space="preserve">NY/T 391 </w:t>
      </w:r>
      <w:r>
        <w:t>绿色食品</w:t>
      </w:r>
      <w:r>
        <w:t xml:space="preserve"> </w:t>
      </w:r>
      <w:r>
        <w:t>产地环境质量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 xml:space="preserve">NY/T 393 </w:t>
      </w:r>
      <w:r>
        <w:t>绿色食品</w:t>
      </w:r>
      <w:r>
        <w:t xml:space="preserve"> </w:t>
      </w:r>
      <w:r>
        <w:t>农药使用准则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 xml:space="preserve">NY/T 394 </w:t>
      </w:r>
      <w:r>
        <w:t>绿色食品</w:t>
      </w:r>
      <w:r>
        <w:t xml:space="preserve"> </w:t>
      </w:r>
      <w:r>
        <w:t>肥料使用准则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 xml:space="preserve">NY/T 654 </w:t>
      </w:r>
      <w:r>
        <w:t>绿色食品</w:t>
      </w:r>
      <w:r>
        <w:t xml:space="preserve"> </w:t>
      </w:r>
      <w:r>
        <w:t>白菜类蔬菜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 xml:space="preserve">NY/T 658 </w:t>
      </w:r>
      <w:r>
        <w:t>绿色食品</w:t>
      </w:r>
      <w:r>
        <w:t xml:space="preserve"> </w:t>
      </w:r>
      <w:r>
        <w:t>包装通用准则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 xml:space="preserve">NY/T 1056 </w:t>
      </w:r>
      <w:r>
        <w:t>绿色食品</w:t>
      </w:r>
      <w:r>
        <w:t xml:space="preserve"> </w:t>
      </w:r>
      <w:r>
        <w:t>储藏运输准则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3  </w:t>
      </w:r>
      <w:r>
        <w:rPr>
          <w:rFonts w:eastAsia="黑体"/>
        </w:rPr>
        <w:t>产地环境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t>应符合</w:t>
      </w:r>
      <w:r>
        <w:t>NY/T 391</w:t>
      </w:r>
      <w:r>
        <w:t>的规定，并选择土地平整、土质疏松、土层深厚、排水方便、接近灌溉水源的地块。在绿色食品和常规生产区域之间应设有缓冲带或物理屏障。生产基地建设应选择生态环境好、无污染、远离工矿区和公路、铁路干线的地区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4 </w:t>
      </w:r>
      <w:r>
        <w:rPr>
          <w:rFonts w:eastAsia="黑体"/>
        </w:rPr>
        <w:t>品种选择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4.1 </w:t>
      </w:r>
      <w:r>
        <w:rPr>
          <w:rFonts w:eastAsia="黑体"/>
        </w:rPr>
        <w:t>选择原则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选择适合华南气候条件和市场需求、优质、高产、抗病、抗逆性强、商品性好的</w:t>
      </w:r>
      <w:r w:rsidR="00F30AA7">
        <w:t>小白菜</w:t>
      </w:r>
      <w:r>
        <w:t>品种。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4.2 </w:t>
      </w:r>
      <w:r>
        <w:rPr>
          <w:rFonts w:eastAsia="黑体"/>
        </w:rPr>
        <w:t>品种选用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优先选用在当地引种示范过的品种，新引进品种应先进行小面积试种。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春末及夏秋高温季节应选用耐热性强、抗病虫性好、优质、商品性好的</w:t>
      </w:r>
      <w:r w:rsidR="00F30AA7">
        <w:t>小白菜</w:t>
      </w:r>
      <w:r>
        <w:t>品种，如夏冠、夏盛、金夏</w:t>
      </w:r>
      <w:proofErr w:type="gramStart"/>
      <w:r>
        <w:t>莳</w:t>
      </w:r>
      <w:proofErr w:type="gramEnd"/>
      <w:r>
        <w:t>等。晚秋及冬春低温季节应选用耐抽</w:t>
      </w:r>
      <w:proofErr w:type="gramStart"/>
      <w:r>
        <w:t>薹</w:t>
      </w:r>
      <w:proofErr w:type="gramEnd"/>
      <w:r>
        <w:t>、耐寒性好、抗逆性强、高产优质的</w:t>
      </w:r>
      <w:r w:rsidR="00F30AA7">
        <w:t>小白菜</w:t>
      </w:r>
      <w:r>
        <w:t>品种，如冬之味、华冠、</w:t>
      </w:r>
      <w:proofErr w:type="gramStart"/>
      <w:r>
        <w:t>秋冠等</w:t>
      </w:r>
      <w:proofErr w:type="gramEnd"/>
      <w:r>
        <w:t>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5 </w:t>
      </w:r>
      <w:r>
        <w:rPr>
          <w:rFonts w:eastAsia="黑体"/>
        </w:rPr>
        <w:t>整地与基肥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生产地块一年至少要进行</w:t>
      </w:r>
      <w:r>
        <w:t>1</w:t>
      </w:r>
      <w:r>
        <w:t>次深耕，</w:t>
      </w:r>
      <w:proofErr w:type="gramStart"/>
      <w:r>
        <w:t>耕深</w:t>
      </w:r>
      <w:proofErr w:type="gramEnd"/>
      <w:r>
        <w:t>20 cm~25 cm</w:t>
      </w:r>
      <w:r>
        <w:t>，深耕后晒土</w:t>
      </w:r>
      <w:r>
        <w:t>7 d~10 d</w:t>
      </w:r>
      <w:r>
        <w:t>。施用基</w:t>
      </w:r>
      <w:r>
        <w:lastRenderedPageBreak/>
        <w:t>肥，每亩可施腐熟有机肥</w:t>
      </w:r>
      <w:r>
        <w:t>1500 kg~2000 kg</w:t>
      </w:r>
      <w:r>
        <w:t>，或复合肥</w:t>
      </w:r>
      <w:r>
        <w:t>30 kg~60 kg</w:t>
      </w:r>
      <w:r>
        <w:t>，浅耙地一次，以使肥料与土壤混合均匀。作高畦，</w:t>
      </w:r>
      <w:proofErr w:type="gramStart"/>
      <w:r>
        <w:t>畦宽</w:t>
      </w:r>
      <w:proofErr w:type="gramEnd"/>
      <w:r>
        <w:t>120 cm</w:t>
      </w:r>
      <w:r>
        <w:t>左右，沟宽</w:t>
      </w:r>
      <w:r>
        <w:t>40 cm</w:t>
      </w:r>
      <w:r>
        <w:t>左右，</w:t>
      </w:r>
      <w:proofErr w:type="gramStart"/>
      <w:r>
        <w:t>畦高</w:t>
      </w:r>
      <w:proofErr w:type="gramEnd"/>
      <w:r>
        <w:t>30 cm</w:t>
      </w:r>
      <w:r>
        <w:t>左右。作畦开沟后可盖上地膜。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 </w:t>
      </w:r>
      <w:r>
        <w:rPr>
          <w:rFonts w:eastAsia="黑体"/>
        </w:rPr>
        <w:t>播种育苗定植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bookmarkStart w:id="1" w:name="OLE_LINK3"/>
      <w:r>
        <w:rPr>
          <w:rFonts w:eastAsia="黑体"/>
        </w:rPr>
        <w:t xml:space="preserve">6.1 </w:t>
      </w:r>
      <w:r>
        <w:rPr>
          <w:rFonts w:eastAsia="黑体"/>
        </w:rPr>
        <w:t>种子处理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种子质量应符合</w:t>
      </w:r>
      <w:r>
        <w:t>GB 16715.2</w:t>
      </w:r>
      <w:r>
        <w:t>的规定。播种前可进行种子消毒。可将种子在</w:t>
      </w:r>
      <w:r>
        <w:t>50~55 ℃</w:t>
      </w:r>
      <w:r>
        <w:t>的温水中浸泡</w:t>
      </w:r>
      <w:r>
        <w:t>30 min</w:t>
      </w:r>
      <w:r>
        <w:t>，或用种子重量</w:t>
      </w:r>
      <w:r>
        <w:t>0.3%</w:t>
      </w:r>
      <w:r>
        <w:t>～</w:t>
      </w:r>
      <w:r>
        <w:t>0.4%</w:t>
      </w:r>
      <w:r>
        <w:t>的</w:t>
      </w:r>
      <w:r>
        <w:t>50%</w:t>
      </w:r>
      <w:r>
        <w:t>多菌灵可湿性粉剂拌种消毒。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6.2 </w:t>
      </w:r>
      <w:r>
        <w:rPr>
          <w:rFonts w:eastAsia="黑体"/>
        </w:rPr>
        <w:t>直播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夏秋高温季节宜采用点播，行距</w:t>
      </w:r>
      <w:r>
        <w:t>20 cm</w:t>
      </w:r>
      <w:r>
        <w:t>，株距</w:t>
      </w:r>
      <w:r>
        <w:t>15 cm</w:t>
      </w:r>
      <w:r>
        <w:t>，每穴点播</w:t>
      </w:r>
      <w:r>
        <w:t>2~3</w:t>
      </w:r>
      <w:r>
        <w:t>粒种子，每亩播种量为</w:t>
      </w:r>
      <w:r>
        <w:t>300 g~500 g</w:t>
      </w:r>
      <w:r>
        <w:t>，浅表层播种，播种后覆盖细土。宜傍晚播种。</w:t>
      </w:r>
    </w:p>
    <w:bookmarkEnd w:id="1"/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6.3 </w:t>
      </w:r>
      <w:r>
        <w:rPr>
          <w:rFonts w:eastAsia="黑体"/>
        </w:rPr>
        <w:t>育苗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冬春低温季节宜采用育苗移栽的方式种植，每亩播种量为</w:t>
      </w:r>
      <w:r>
        <w:t>150 g~300 g</w:t>
      </w:r>
      <w:r>
        <w:t>，</w:t>
      </w:r>
      <w:proofErr w:type="gramStart"/>
      <w:r>
        <w:t>穴盘育苗</w:t>
      </w:r>
      <w:proofErr w:type="gramEnd"/>
      <w:r>
        <w:t>50 g~100 g</w:t>
      </w:r>
      <w:r>
        <w:t>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6.3.1 </w:t>
      </w:r>
      <w:r>
        <w:rPr>
          <w:rFonts w:eastAsia="黑体"/>
        </w:rPr>
        <w:t>育苗基质及育苗穴盘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采用</w:t>
      </w:r>
      <w:r>
        <w:t>72</w:t>
      </w:r>
      <w:r>
        <w:t>孔</w:t>
      </w:r>
      <w:proofErr w:type="gramStart"/>
      <w:r>
        <w:t>的穴盘育苗</w:t>
      </w:r>
      <w:proofErr w:type="gramEnd"/>
      <w:r>
        <w:t>，选择通过或获得登记的叶菜类专用育苗基质，基质</w:t>
      </w:r>
      <w:proofErr w:type="gramStart"/>
      <w:r>
        <w:t>装入穴盘前</w:t>
      </w:r>
      <w:proofErr w:type="gramEnd"/>
      <w:r>
        <w:t>需用水淋湿润，以手紧握微出水为宜，装盘待用。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6.3.2 </w:t>
      </w:r>
      <w:r>
        <w:rPr>
          <w:rFonts w:eastAsia="黑体"/>
        </w:rPr>
        <w:t>育苗播种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proofErr w:type="gramStart"/>
      <w:r>
        <w:t>穴盘育苗</w:t>
      </w:r>
      <w:proofErr w:type="gramEnd"/>
      <w:r>
        <w:t>每穴播</w:t>
      </w:r>
      <w:r>
        <w:t>1</w:t>
      </w:r>
      <w:r>
        <w:t>粒，播种后穴盘整齐摆放在育苗床上。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6.4 </w:t>
      </w:r>
      <w:r>
        <w:rPr>
          <w:rFonts w:eastAsia="黑体"/>
        </w:rPr>
        <w:t>定植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6.4.1 </w:t>
      </w:r>
      <w:r>
        <w:rPr>
          <w:rFonts w:eastAsia="黑体"/>
        </w:rPr>
        <w:t>定植时间</w:t>
      </w:r>
    </w:p>
    <w:p w:rsidR="008410F1" w:rsidRDefault="00FF7205">
      <w:pPr>
        <w:pStyle w:val="1"/>
        <w:spacing w:line="300" w:lineRule="auto"/>
        <w:rPr>
          <w:color w:val="000000" w:themeColor="text1"/>
        </w:rPr>
      </w:pPr>
      <w:proofErr w:type="gramStart"/>
      <w:r>
        <w:t>穴盘育苗</w:t>
      </w:r>
      <w:proofErr w:type="gramEnd"/>
      <w:r>
        <w:t>，秧苗长至</w:t>
      </w:r>
      <w:r>
        <w:t>4~6</w:t>
      </w:r>
      <w:r>
        <w:t>片真叶、苗龄</w:t>
      </w:r>
      <w:r>
        <w:t>15 d~25 d</w:t>
      </w:r>
      <w:r>
        <w:t>时即可移栽定植。冬春定植时，应适当深栽防寒，宜在</w:t>
      </w:r>
      <w:r>
        <w:t>10 cm</w:t>
      </w:r>
      <w:r>
        <w:t>地温超过</w:t>
      </w:r>
      <w:r>
        <w:t>15 ℃</w:t>
      </w:r>
      <w:r>
        <w:t>后进行。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6.4.2 </w:t>
      </w:r>
      <w:r>
        <w:rPr>
          <w:rFonts w:eastAsia="黑体"/>
        </w:rPr>
        <w:t>定植密度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行距</w:t>
      </w:r>
      <w:r>
        <w:t>20 cm</w:t>
      </w:r>
      <w:r>
        <w:t>、株距</w:t>
      </w:r>
      <w:r>
        <w:t>15 cm</w:t>
      </w:r>
      <w:r>
        <w:t>，每亩定植</w:t>
      </w:r>
      <w:r>
        <w:t>15000</w:t>
      </w:r>
      <w:r>
        <w:t>株。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 </w:t>
      </w:r>
      <w:r>
        <w:rPr>
          <w:rFonts w:eastAsia="黑体"/>
        </w:rPr>
        <w:t>田间管理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7.1 </w:t>
      </w:r>
      <w:r>
        <w:rPr>
          <w:rFonts w:eastAsia="黑体"/>
        </w:rPr>
        <w:t>间补苗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采用直播栽培的</w:t>
      </w:r>
      <w:r w:rsidR="00F30AA7">
        <w:t>小白菜</w:t>
      </w:r>
      <w:r>
        <w:t>，在植株长至</w:t>
      </w:r>
      <w:r>
        <w:t>3~4</w:t>
      </w:r>
      <w:r>
        <w:t>片真叶时应进行间补苗。要注意栽植质量，保证齐苗，剔除弱苗、</w:t>
      </w:r>
      <w:proofErr w:type="gramStart"/>
      <w:r>
        <w:t>病苗和</w:t>
      </w:r>
      <w:proofErr w:type="gramEnd"/>
      <w:r>
        <w:t>多余苗，补栽壮苗，做到</w:t>
      </w:r>
      <w:proofErr w:type="gramStart"/>
      <w:r>
        <w:t>一</w:t>
      </w:r>
      <w:proofErr w:type="gramEnd"/>
      <w:r>
        <w:t>穴一株。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7.2 </w:t>
      </w:r>
      <w:r>
        <w:rPr>
          <w:rFonts w:eastAsia="黑体"/>
        </w:rPr>
        <w:t>温度管理</w:t>
      </w:r>
    </w:p>
    <w:p w:rsidR="008410F1" w:rsidRDefault="00F30AA7" w:rsidP="00092C56">
      <w:pPr>
        <w:pStyle w:val="1"/>
        <w:spacing w:beforeLines="50" w:before="156" w:afterLines="50" w:after="156" w:line="400" w:lineRule="atLeast"/>
        <w:contextualSpacing/>
      </w:pPr>
      <w:r>
        <w:t>小白菜</w:t>
      </w:r>
      <w:r w:rsidR="00FF7205">
        <w:t>种子的发芽适宜温度为</w:t>
      </w:r>
      <w:r w:rsidR="00FF7205">
        <w:t>20~25 ℃</w:t>
      </w:r>
      <w:r w:rsidR="00FF7205">
        <w:t>，苗期适宜温度</w:t>
      </w:r>
      <w:r w:rsidR="00FF7205">
        <w:t>20~30 ℃</w:t>
      </w:r>
      <w:r w:rsidR="00FF7205">
        <w:t>，生长期适宜温度为</w:t>
      </w:r>
      <w:r w:rsidR="00FF7205">
        <w:t>15~25 ℃</w:t>
      </w:r>
      <w:r w:rsidR="00FF7205">
        <w:t>。冬春低温季节可采用地膜、小拱棚等方式进行增温保湿。夏秋高温季节可采用遮阳网覆盖等方式降温，夏秋高温干旱天可叶面喷薄水降温，以叶面有水珠滑落为宜。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7.3 </w:t>
      </w:r>
      <w:r>
        <w:rPr>
          <w:rFonts w:eastAsia="黑体"/>
        </w:rPr>
        <w:t>水分管理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灌溉用水应符合</w:t>
      </w:r>
      <w:r>
        <w:t>NY/T 391</w:t>
      </w:r>
      <w:r>
        <w:t>的规定。幼苗期应少浇水、勤浇水，</w:t>
      </w:r>
      <w:proofErr w:type="gramStart"/>
      <w:r>
        <w:t>保持畦面湿润</w:t>
      </w:r>
      <w:proofErr w:type="gramEnd"/>
      <w:r>
        <w:t>。定植后</w:t>
      </w:r>
      <w:r>
        <w:lastRenderedPageBreak/>
        <w:t>灌溉一次，之后每隔</w:t>
      </w:r>
      <w:r>
        <w:t>5 d~7 d</w:t>
      </w:r>
      <w:r>
        <w:t>灌溉一次，以土壤完全吸水为宜。生长期间保持土壤湿润，雨水过后应及时排除多余积水。浇水宜选在清晨和傍晚进行。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7.4 </w:t>
      </w:r>
      <w:r>
        <w:rPr>
          <w:rFonts w:eastAsia="黑体"/>
        </w:rPr>
        <w:t>施肥管理</w:t>
      </w:r>
    </w:p>
    <w:p w:rsidR="008410F1" w:rsidRDefault="00FF7205">
      <w:pPr>
        <w:pStyle w:val="1"/>
        <w:spacing w:line="300" w:lineRule="auto"/>
        <w:rPr>
          <w:color w:val="000000" w:themeColor="text1"/>
        </w:rPr>
      </w:pPr>
      <w:r>
        <w:t>肥料的种类及使用原则应符合</w:t>
      </w:r>
      <w:r>
        <w:t>NY/T 394</w:t>
      </w:r>
      <w:r>
        <w:t>的规定。移栽定植到</w:t>
      </w:r>
      <w:proofErr w:type="gramStart"/>
      <w:r>
        <w:t>缓苗前不</w:t>
      </w:r>
      <w:proofErr w:type="gramEnd"/>
      <w:r>
        <w:t>追肥，缓苗后根据生长状况及时追肥，宜随水追施</w:t>
      </w:r>
      <w:r>
        <w:t>2~3</w:t>
      </w:r>
      <w:r>
        <w:t>次，每次施氮磷钾复合肥（</w:t>
      </w:r>
      <w:r>
        <w:t>15-15-15</w:t>
      </w:r>
      <w:r>
        <w:t>）</w:t>
      </w:r>
      <w:r>
        <w:t>10 kg~15 kg/</w:t>
      </w:r>
      <w:r>
        <w:t>亩。采收前</w:t>
      </w:r>
      <w:r>
        <w:t>10 d</w:t>
      </w:r>
      <w:r>
        <w:t>应停止施肥。施肥量可根据土壤情况适当调整，推荐测土配方施肥。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 </w:t>
      </w:r>
      <w:r>
        <w:rPr>
          <w:rFonts w:eastAsia="黑体"/>
        </w:rPr>
        <w:t>病虫害防治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7.5.1 </w:t>
      </w:r>
      <w:r>
        <w:rPr>
          <w:rFonts w:eastAsia="黑体"/>
        </w:rPr>
        <w:t>防治原则</w:t>
      </w:r>
      <w:r>
        <w:rPr>
          <w:rFonts w:eastAsia="黑体"/>
        </w:rPr>
        <w:t xml:space="preserve"> 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按照</w:t>
      </w:r>
      <w:r>
        <w:t>“</w:t>
      </w:r>
      <w:r>
        <w:t>预防为主，综合防治</w:t>
      </w:r>
      <w:r>
        <w:t>”</w:t>
      </w:r>
      <w:r>
        <w:t>的植保方针，坚持以</w:t>
      </w:r>
      <w:r>
        <w:t>“</w:t>
      </w:r>
      <w:r>
        <w:t>农业防治、物理防治、生物防治为主，化学防治为辅</w:t>
      </w:r>
      <w:r>
        <w:t>”</w:t>
      </w:r>
      <w:r>
        <w:t>的防治原则。发生初期及早用药，不同农药交替使用；优先使用生物农药；采收前间隔期内停止用药。药剂选择应符合</w:t>
      </w:r>
      <w:r>
        <w:t>NY/T 393</w:t>
      </w:r>
      <w:r>
        <w:t>的规定。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>7.5.2</w:t>
      </w:r>
      <w:r>
        <w:rPr>
          <w:rFonts w:eastAsia="黑体"/>
        </w:rPr>
        <w:t>主要病虫害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主要病虫害有霜霉病、软腐病、蚜虫、跳甲、菜青虫、小菜蛾、甜菜夜蛾等。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7.5.3 </w:t>
      </w:r>
      <w:r>
        <w:rPr>
          <w:rFonts w:eastAsia="黑体"/>
        </w:rPr>
        <w:t>农业防治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7.5.3.1 </w:t>
      </w:r>
      <w:r>
        <w:rPr>
          <w:rFonts w:eastAsia="黑体"/>
        </w:rPr>
        <w:t>选用抗性品种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针对当地主要病虫控制对象，选用高抗、多抗的品种。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7.5.3.2 </w:t>
      </w:r>
      <w:r>
        <w:rPr>
          <w:rFonts w:eastAsia="黑体"/>
        </w:rPr>
        <w:t>创造适宜的生育环境条件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培育适龄壮苗；育苗</w:t>
      </w:r>
      <w:proofErr w:type="gramStart"/>
      <w:r>
        <w:t>棚采用</w:t>
      </w:r>
      <w:proofErr w:type="gramEnd"/>
      <w:r>
        <w:t>防虫网覆盖，育苗床悬挂</w:t>
      </w:r>
      <w:proofErr w:type="gramStart"/>
      <w:r>
        <w:t>诱虫黄</w:t>
      </w:r>
      <w:proofErr w:type="gramEnd"/>
      <w:r>
        <w:t>板；控制好温湿度，适宜的肥水，充足的光照；深沟高畦，严防积水；及时清除病叶、病株、杂草，集中进行无害化处理，保持田间清洁。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7.5.3.3 </w:t>
      </w:r>
      <w:r>
        <w:rPr>
          <w:rFonts w:eastAsia="黑体"/>
        </w:rPr>
        <w:t>深耕轮作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种植间期，深耕晒畦。实行轮作制度，不同蔬菜作物合理轮作。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7.5.3.4 </w:t>
      </w:r>
      <w:r>
        <w:rPr>
          <w:rFonts w:eastAsia="黑体"/>
        </w:rPr>
        <w:t>科学施肥</w:t>
      </w:r>
    </w:p>
    <w:p w:rsidR="008410F1" w:rsidRDefault="00FF7205">
      <w:pPr>
        <w:pStyle w:val="1"/>
        <w:spacing w:line="300" w:lineRule="auto"/>
        <w:rPr>
          <w:color w:val="000000" w:themeColor="text1"/>
        </w:rPr>
      </w:pPr>
      <w:r>
        <w:t>测土平衡施肥，施用经无害化处理的有机肥，少施化肥。肥料的使用应符合</w:t>
      </w:r>
      <w:r>
        <w:t>NY/T 394</w:t>
      </w:r>
      <w:r>
        <w:t>的规定。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7.5.4 </w:t>
      </w:r>
      <w:r>
        <w:rPr>
          <w:rFonts w:eastAsia="黑体"/>
        </w:rPr>
        <w:t>物理防治</w:t>
      </w:r>
    </w:p>
    <w:p w:rsidR="008410F1" w:rsidRDefault="00FF7205">
      <w:pPr>
        <w:pStyle w:val="1"/>
        <w:spacing w:line="300" w:lineRule="auto"/>
        <w:rPr>
          <w:color w:val="000000" w:themeColor="text1"/>
        </w:rPr>
      </w:pPr>
      <w:r>
        <w:t>覆盖防虫网阻隔害虫，覆盖银灰色地膜驱避蚜虫，悬挂黄</w:t>
      </w:r>
      <w:proofErr w:type="gramStart"/>
      <w:r>
        <w:t>板或者安装频振式</w:t>
      </w:r>
      <w:proofErr w:type="gramEnd"/>
      <w:r>
        <w:t>诱虫灯诱杀害虫。每公顷悬挂（</w:t>
      </w:r>
      <w:r>
        <w:t>25 cm×30 cm</w:t>
      </w:r>
      <w:r>
        <w:t>）黄板</w:t>
      </w:r>
      <w:r>
        <w:t>450~600</w:t>
      </w:r>
      <w:r>
        <w:t>块诱杀蚜虫、粉</w:t>
      </w:r>
      <w:proofErr w:type="gramStart"/>
      <w:r>
        <w:t>虱</w:t>
      </w:r>
      <w:proofErr w:type="gramEnd"/>
      <w:r>
        <w:t>等。每</w:t>
      </w:r>
      <w:r>
        <w:t>2~4</w:t>
      </w:r>
      <w:r>
        <w:t>公顷设置一盏</w:t>
      </w:r>
      <w:proofErr w:type="gramStart"/>
      <w:r>
        <w:t>频振式</w:t>
      </w:r>
      <w:proofErr w:type="gramEnd"/>
      <w:r>
        <w:t>杀虫灯诱杀害虫。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7.5.5 </w:t>
      </w:r>
      <w:r>
        <w:rPr>
          <w:rFonts w:eastAsia="黑体"/>
        </w:rPr>
        <w:t>生物防治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  <w:rPr>
          <w:color w:val="000000" w:themeColor="text1"/>
        </w:rPr>
      </w:pPr>
      <w:r>
        <w:t>生物农药的使用应符合</w:t>
      </w:r>
      <w:r>
        <w:t>NY/T 393</w:t>
      </w:r>
      <w:r>
        <w:t>的规定。优先选用植物源农药</w:t>
      </w:r>
      <w:proofErr w:type="gramStart"/>
      <w:r>
        <w:t>如苦</w:t>
      </w:r>
      <w:proofErr w:type="gramEnd"/>
      <w:r>
        <w:t>参碱、印楝素等和生物源农药如春雷霉素等生物农药防治病虫害。菌类药剂应在傍晩时喷施，减少高温强光对药剂的影响。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7.5.6 </w:t>
      </w:r>
      <w:r>
        <w:rPr>
          <w:rFonts w:eastAsia="黑体"/>
        </w:rPr>
        <w:t>化学防治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化学药剂的使用应符合</w:t>
      </w:r>
      <w:r>
        <w:t>NY/T 393</w:t>
      </w:r>
      <w:r>
        <w:t>的规定。病虫害发生初期进行防治，依据发生严重程</w:t>
      </w:r>
      <w:r>
        <w:lastRenderedPageBreak/>
        <w:t>度间隔</w:t>
      </w:r>
      <w:r>
        <w:t>7 d~10 d</w:t>
      </w:r>
      <w:r>
        <w:t>连续施用</w:t>
      </w:r>
      <w:r>
        <w:t>2~3</w:t>
      </w:r>
      <w:r>
        <w:t>次药剂，同一病虫害化学防治应轮换使用不同作用机制的药剂。生产基地内应统一防控，针对迁飞害虫，应按照先四周后中央的顺序进行喷药。主要病虫害化学防治方法见附录</w:t>
      </w:r>
      <w:r w:rsidR="00092C56">
        <w:rPr>
          <w:rFonts w:hint="eastAsia"/>
        </w:rPr>
        <w:t>A</w:t>
      </w:r>
      <w:r>
        <w:t>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8 </w:t>
      </w:r>
      <w:r>
        <w:rPr>
          <w:rFonts w:eastAsia="黑体"/>
        </w:rPr>
        <w:t>采收</w:t>
      </w:r>
    </w:p>
    <w:p w:rsidR="008410F1" w:rsidRDefault="00F30AA7" w:rsidP="00092C56">
      <w:pPr>
        <w:pStyle w:val="1"/>
        <w:spacing w:beforeLines="50" w:before="156" w:afterLines="50" w:after="156" w:line="400" w:lineRule="atLeast"/>
        <w:contextualSpacing/>
      </w:pPr>
      <w:r>
        <w:t>小白菜</w:t>
      </w:r>
      <w:r w:rsidR="00FF7205">
        <w:t>从播种至采收一般需</w:t>
      </w:r>
      <w:r w:rsidR="00FF7205">
        <w:t>35 d~60 d</w:t>
      </w:r>
      <w:r w:rsidR="00FF7205">
        <w:t>，适期整株采收，保持叶片鲜嫩、完整。去除黄叶、病虫叶及机械损伤叶，根据株型大小分级包装。宜在早晨露水干后或傍晚天黑前进行采收。严格遵守农药安全间隔期要求进行采收。农药残留和感官品质应符合</w:t>
      </w:r>
      <w:r w:rsidR="00FF7205">
        <w:t>NY/T 654</w:t>
      </w:r>
      <w:r w:rsidR="00FF7205">
        <w:t>的规定。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 </w:t>
      </w:r>
      <w:r>
        <w:rPr>
          <w:rFonts w:eastAsia="黑体"/>
        </w:rPr>
        <w:t>包装运输储藏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9.1 </w:t>
      </w:r>
      <w:r>
        <w:rPr>
          <w:rFonts w:eastAsia="黑体"/>
        </w:rPr>
        <w:t>包装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9.1.1 </w:t>
      </w:r>
      <w:r>
        <w:rPr>
          <w:rFonts w:eastAsia="黑体"/>
        </w:rPr>
        <w:t>包装容器要求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宜选用规格工整的箱子，按照统一方向排列装箱，箱体应整洁、干燥、透气、无污染、无异味，内壁无尖突物，无虫蛀、腐烂、霉变。包装材料及卫生要求应符合</w:t>
      </w:r>
      <w:r>
        <w:t>NY/T 658</w:t>
      </w:r>
      <w:r>
        <w:t>的规定。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9.1.2 </w:t>
      </w:r>
      <w:r>
        <w:rPr>
          <w:rFonts w:eastAsia="黑体"/>
        </w:rPr>
        <w:t>包装要求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按产品的品种、规格分别包装，同一件包装内的产品应摆放整齐紧密且规格相同。每批次产品所用的包装、单位质量应一致，每一包装物外表应标注有产品名称、产品的标准编号、商标、生产单位（或企业）名称、详细地址、产地、规格、净含量、包装日期、安全认证标志和认证号等，标志上的字迹应清晰、完整、准确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9.2 </w:t>
      </w:r>
      <w:r>
        <w:rPr>
          <w:rFonts w:eastAsia="黑体"/>
        </w:rPr>
        <w:t>运输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应符合</w:t>
      </w:r>
      <w:r>
        <w:t>NY/T 1056</w:t>
      </w:r>
      <w:r>
        <w:t>的规定。运输前需进行预冷。运输过程中应注意防冻、防雨淋、防晒、通风散热。运输车应专车专用，定期进行清扫消毒。铺垫物、遮盖物等运输辅助物应清洁卫生、无毒无害。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9.3 </w:t>
      </w:r>
      <w:r>
        <w:rPr>
          <w:rFonts w:eastAsia="黑体"/>
        </w:rPr>
        <w:t>储藏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应符合</w:t>
      </w:r>
      <w:r>
        <w:t>NY/T 1056</w:t>
      </w:r>
      <w:r>
        <w:t>的规定。应按品种、规格分别储藏，储藏温度在</w:t>
      </w:r>
      <w:r>
        <w:t>2~4 ℃</w:t>
      </w:r>
      <w:r>
        <w:t>左右，空气相对湿度保持在</w:t>
      </w:r>
      <w:r>
        <w:t>90%~95%</w:t>
      </w:r>
      <w:r>
        <w:t>，库内堆码应保证气流均匀流通。储藏空间应定期清理打扫并消毒，做好防虫防鼠措施。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ind w:firstLineChars="0" w:firstLine="0"/>
        <w:contextualSpacing/>
        <w:rPr>
          <w:rFonts w:eastAsia="黑体"/>
        </w:rPr>
      </w:pPr>
      <w:r>
        <w:rPr>
          <w:rFonts w:eastAsia="黑体"/>
        </w:rPr>
        <w:t xml:space="preserve">10 </w:t>
      </w:r>
      <w:r>
        <w:rPr>
          <w:rFonts w:eastAsia="黑体"/>
        </w:rPr>
        <w:t>生产废弃物处理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采收结束后应及时清理地膜等生产废弃物，地膜、防虫网、</w:t>
      </w:r>
      <w:proofErr w:type="gramStart"/>
      <w:r>
        <w:t>滴灌带</w:t>
      </w:r>
      <w:proofErr w:type="gramEnd"/>
      <w:r>
        <w:t>等应集中回收处理。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农药包装袋、包装瓶作为有害垃圾，应集中做无害化处理。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清除的病叶、病株及杂草，应统一处理或就地深埋，亦可与有机肥一同进行发酵腐熟后，作为肥料使用。</w:t>
      </w:r>
    </w:p>
    <w:p w:rsidR="008410F1" w:rsidRDefault="00FF7205">
      <w:pPr>
        <w:spacing w:line="400" w:lineRule="atLeast"/>
        <w:contextualSpacing/>
        <w:rPr>
          <w:rFonts w:ascii="Times New Roman" w:eastAsia="黑体" w:hAnsi="Times New Roman" w:cs="Times New Roman"/>
          <w:szCs w:val="21"/>
        </w:rPr>
      </w:pPr>
      <w:r>
        <w:rPr>
          <w:rFonts w:ascii="Times New Roman" w:eastAsia="黑体" w:hAnsi="Times New Roman" w:cs="Times New Roman"/>
          <w:szCs w:val="21"/>
        </w:rPr>
        <w:t xml:space="preserve">11 </w:t>
      </w:r>
      <w:r>
        <w:rPr>
          <w:rFonts w:ascii="Times New Roman" w:eastAsia="黑体" w:hAnsi="Times New Roman" w:cs="Times New Roman"/>
          <w:szCs w:val="21"/>
        </w:rPr>
        <w:t>生产档案管理</w:t>
      </w:r>
    </w:p>
    <w:p w:rsidR="008410F1" w:rsidRDefault="00FF7205" w:rsidP="00092C56">
      <w:pPr>
        <w:pStyle w:val="1"/>
        <w:spacing w:beforeLines="50" w:before="156" w:afterLines="50" w:after="156" w:line="400" w:lineRule="atLeast"/>
        <w:contextualSpacing/>
      </w:pPr>
      <w:r>
        <w:t>建立绿色食品</w:t>
      </w:r>
      <w:r w:rsidR="00F30AA7">
        <w:t>小白菜</w:t>
      </w:r>
      <w:r>
        <w:t>生产记录档案。应详细记录产地环境条件、生产措施、肥水管理、病虫害发生和防治、采收包装、运输储藏等各环节所采取的具体措施和操作人员。生产记录</w:t>
      </w:r>
      <w:r>
        <w:lastRenderedPageBreak/>
        <w:t>档案需保存三年以上，做到农产品生产可追溯。</w:t>
      </w:r>
    </w:p>
    <w:p w:rsidR="008410F1" w:rsidRDefault="008410F1" w:rsidP="00092C56">
      <w:pPr>
        <w:pStyle w:val="1"/>
        <w:spacing w:beforeLines="50" w:before="156" w:afterLines="50" w:after="156" w:line="400" w:lineRule="atLeast"/>
        <w:contextualSpacing/>
      </w:pPr>
    </w:p>
    <w:p w:rsidR="008410F1" w:rsidRDefault="008410F1" w:rsidP="00092C56">
      <w:pPr>
        <w:pStyle w:val="1"/>
        <w:spacing w:beforeLines="50" w:before="156" w:afterLines="50" w:after="156" w:line="400" w:lineRule="atLeast"/>
        <w:contextualSpacing/>
        <w:sectPr w:rsidR="008410F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410F1" w:rsidRDefault="00FF7205">
      <w:pPr>
        <w:widowControl/>
        <w:autoSpaceDE w:val="0"/>
        <w:autoSpaceDN w:val="0"/>
        <w:jc w:val="center"/>
        <w:rPr>
          <w:rFonts w:ascii="Times New Roman" w:eastAsia="黑体" w:hAnsi="Times New Roman" w:cs="Times New Roman"/>
          <w:bCs/>
          <w:szCs w:val="21"/>
        </w:rPr>
      </w:pPr>
      <w:r>
        <w:rPr>
          <w:rFonts w:ascii="Times New Roman" w:eastAsia="黑体" w:hAnsi="Times New Roman" w:cs="Times New Roman"/>
          <w:bCs/>
          <w:szCs w:val="21"/>
        </w:rPr>
        <w:lastRenderedPageBreak/>
        <w:t>附</w:t>
      </w:r>
      <w:r>
        <w:rPr>
          <w:rFonts w:ascii="Times New Roman" w:eastAsia="黑体" w:hAnsi="Times New Roman" w:cs="Times New Roman"/>
          <w:bCs/>
          <w:szCs w:val="21"/>
        </w:rPr>
        <w:t xml:space="preserve">  </w:t>
      </w:r>
      <w:r>
        <w:rPr>
          <w:rFonts w:ascii="Times New Roman" w:eastAsia="黑体" w:hAnsi="Times New Roman" w:cs="Times New Roman"/>
          <w:bCs/>
          <w:szCs w:val="21"/>
        </w:rPr>
        <w:t>录</w:t>
      </w:r>
      <w:r>
        <w:rPr>
          <w:rFonts w:ascii="Times New Roman" w:eastAsia="黑体" w:hAnsi="Times New Roman" w:cs="Times New Roman"/>
          <w:bCs/>
          <w:szCs w:val="21"/>
        </w:rPr>
        <w:t xml:space="preserve">  A</w:t>
      </w:r>
    </w:p>
    <w:p w:rsidR="008410F1" w:rsidRDefault="00FF7205">
      <w:pPr>
        <w:jc w:val="center"/>
        <w:rPr>
          <w:rFonts w:ascii="Times New Roman" w:eastAsia="黑体" w:hAnsi="Times New Roman" w:cs="Times New Roman"/>
          <w:bCs/>
          <w:color w:val="000000" w:themeColor="text1"/>
        </w:rPr>
      </w:pPr>
      <w:r>
        <w:rPr>
          <w:rFonts w:eastAsia="黑体"/>
          <w:bCs/>
        </w:rPr>
        <w:t>华南地区</w:t>
      </w:r>
      <w:r>
        <w:rPr>
          <w:rFonts w:eastAsia="黑体" w:hint="eastAsia"/>
          <w:bCs/>
        </w:rPr>
        <w:t xml:space="preserve"> </w:t>
      </w:r>
      <w:r>
        <w:rPr>
          <w:rFonts w:eastAsia="黑体" w:hint="eastAsia"/>
          <w:bCs/>
        </w:rPr>
        <w:t>绿色食品</w:t>
      </w:r>
      <w:r w:rsidR="00F05186">
        <w:rPr>
          <w:rFonts w:eastAsia="黑体" w:hint="eastAsia"/>
          <w:bCs/>
        </w:rPr>
        <w:t>露地</w:t>
      </w:r>
      <w:r w:rsidR="00F30AA7">
        <w:rPr>
          <w:rFonts w:ascii="Times New Roman" w:eastAsia="黑体" w:hAnsi="Times New Roman" w:cs="Times New Roman"/>
          <w:bCs/>
        </w:rPr>
        <w:t>小白菜</w:t>
      </w:r>
      <w:r>
        <w:rPr>
          <w:rFonts w:ascii="Times New Roman" w:eastAsia="黑体" w:hAnsi="Times New Roman" w:cs="Times New Roman"/>
          <w:bCs/>
        </w:rPr>
        <w:t>生产主要病虫害</w:t>
      </w:r>
      <w:bookmarkStart w:id="2" w:name="DW"/>
      <w:bookmarkEnd w:id="2"/>
      <w:r>
        <w:rPr>
          <w:rFonts w:ascii="Times New Roman" w:eastAsia="黑体" w:hAnsi="Times New Roman" w:cs="Times New Roman"/>
          <w:bCs/>
        </w:rPr>
        <w:t>防治</w:t>
      </w:r>
      <w:r>
        <w:rPr>
          <w:rFonts w:ascii="Times New Roman" w:eastAsia="黑体" w:hAnsi="Times New Roman" w:cs="Times New Roman"/>
          <w:bCs/>
          <w:color w:val="000000" w:themeColor="text1"/>
        </w:rPr>
        <w:t>推荐农药使用方案</w:t>
      </w:r>
    </w:p>
    <w:p w:rsidR="008410F1" w:rsidRDefault="00FF7205">
      <w:pPr>
        <w:jc w:val="center"/>
        <w:rPr>
          <w:rFonts w:ascii="Times New Roman" w:eastAsia="黑体" w:hAnsi="Times New Roman" w:cs="Times New Roman"/>
          <w:bCs/>
          <w:color w:val="000000" w:themeColor="text1"/>
        </w:rPr>
      </w:pPr>
      <w:r>
        <w:rPr>
          <w:rFonts w:ascii="Times New Roman" w:eastAsia="黑体" w:hAnsi="Times New Roman" w:cs="Times New Roman"/>
          <w:bCs/>
          <w:szCs w:val="21"/>
        </w:rPr>
        <w:t>（资料性附录）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"/>
        <w:gridCol w:w="2488"/>
        <w:gridCol w:w="2488"/>
        <w:gridCol w:w="1201"/>
        <w:gridCol w:w="921"/>
        <w:gridCol w:w="490"/>
      </w:tblGrid>
      <w:tr w:rsidR="00147FD4" w:rsidTr="001D3FD8">
        <w:trPr>
          <w:trHeight w:val="662"/>
        </w:trPr>
        <w:tc>
          <w:tcPr>
            <w:tcW w:w="445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防治</w:t>
            </w:r>
          </w:p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对象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</w:tcPr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防治时期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农药名称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施用剂量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施用</w:t>
            </w:r>
          </w:p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方式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47FD4" w:rsidRDefault="00147FD4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安全间隔期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(d)</w:t>
            </w:r>
          </w:p>
        </w:tc>
      </w:tr>
      <w:tr w:rsidR="001D3FD8" w:rsidTr="001D3FD8">
        <w:trPr>
          <w:trHeight w:val="473"/>
        </w:trPr>
        <w:tc>
          <w:tcPr>
            <w:tcW w:w="445" w:type="pct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霜霉病</w:t>
            </w:r>
          </w:p>
        </w:tc>
        <w:tc>
          <w:tcPr>
            <w:tcW w:w="1493" w:type="pct"/>
            <w:vMerge w:val="restart"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:rsidR="001D3FD8" w:rsidRDefault="001D3FD8" w:rsidP="00092C56">
            <w:pPr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发病前或初期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40%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三乙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膦酸铝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可湿性粉剂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235~470 g/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687.5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克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升氟菌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霜霉威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60-75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毫升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 w:rsidP="00FF7205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软腐病</w:t>
            </w:r>
          </w:p>
        </w:tc>
        <w:tc>
          <w:tcPr>
            <w:tcW w:w="1493" w:type="pct"/>
            <w:vMerge w:val="restart"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发病前或初期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春雷霉素可湿性粉剂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100~150 g/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氨基寡糖素水剂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187.5~250 mL/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Pr="008149AF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color w:val="5E5E5E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Helvetica" w:hAnsi="Times New Roman" w:cs="Times New Roman"/>
                <w:color w:val="5E5E5E"/>
                <w:sz w:val="18"/>
                <w:szCs w:val="18"/>
                <w:shd w:val="clear" w:color="auto" w:fill="FFFFFF"/>
              </w:rPr>
              <w:t>1000</w:t>
            </w:r>
            <w:r>
              <w:rPr>
                <w:rFonts w:ascii="宋体" w:eastAsia="宋体" w:hAnsi="宋体" w:cs="宋体" w:hint="eastAsia"/>
                <w:color w:val="5E5E5E"/>
                <w:sz w:val="18"/>
                <w:szCs w:val="18"/>
                <w:shd w:val="clear" w:color="auto" w:fill="FFFFFF"/>
              </w:rPr>
              <w:t>亿孢子</w:t>
            </w:r>
            <w:r>
              <w:rPr>
                <w:rFonts w:ascii="Times New Roman" w:eastAsia="Helvetica" w:hAnsi="Times New Roman" w:cs="Times New Roman"/>
                <w:color w:val="5E5E5E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宋体" w:eastAsia="宋体" w:hAnsi="宋体" w:cs="宋体" w:hint="eastAsia"/>
                <w:color w:val="5E5E5E"/>
                <w:sz w:val="18"/>
                <w:szCs w:val="18"/>
                <w:shd w:val="clear" w:color="auto" w:fill="FFFFFF"/>
              </w:rPr>
              <w:t>克</w:t>
            </w:r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枯草芽孢杆菌可湿性粉剂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50-60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克</w:t>
            </w: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20%</w:t>
            </w:r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噻唑</w:t>
            </w:r>
            <w:proofErr w:type="gramStart"/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锌</w:t>
            </w:r>
            <w:proofErr w:type="gramEnd"/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100-150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毫升</w:t>
            </w: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蚜虫</w:t>
            </w:r>
          </w:p>
        </w:tc>
        <w:tc>
          <w:tcPr>
            <w:tcW w:w="1493" w:type="pct"/>
            <w:vMerge w:val="restart"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发病初期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20%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吡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虫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啉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可溶液剂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5~10 g/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25%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吡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虫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辛硫磷乳油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15~20 mL/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苦参碱可溶液剂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50-120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毫升</w:t>
            </w: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白粉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虱</w:t>
            </w:r>
            <w:proofErr w:type="gramEnd"/>
          </w:p>
        </w:tc>
        <w:tc>
          <w:tcPr>
            <w:tcW w:w="1493" w:type="pct"/>
            <w:vMerge w:val="restart"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发病初期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20%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啶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虫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·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辛硫磷乳油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30~50 mL/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eastAsia="Helvetica" w:hAnsi="Times New Roman" w:cs="Times New Roman"/>
                <w:color w:val="5E5E5E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Helvetica" w:hAnsi="Times New Roman" w:cs="Times New Roman"/>
                <w:color w:val="5E5E5E"/>
                <w:sz w:val="18"/>
                <w:szCs w:val="18"/>
                <w:shd w:val="clear" w:color="auto" w:fill="FFFFFF"/>
              </w:rPr>
              <w:t>22%</w:t>
            </w:r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氟</w:t>
            </w:r>
            <w:proofErr w:type="gramStart"/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啶</w:t>
            </w:r>
            <w:proofErr w:type="gramEnd"/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虫胺</w:t>
            </w:r>
            <w:proofErr w:type="gramStart"/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腈</w:t>
            </w:r>
            <w:proofErr w:type="gramEnd"/>
            <w:r>
              <w:rPr>
                <w:rFonts w:ascii="Times New Roman" w:eastAsia="宋体" w:hAnsi="Times New Roman" w:cs="Times New Roman"/>
                <w:color w:val="5E5E5E"/>
                <w:sz w:val="18"/>
                <w:szCs w:val="18"/>
                <w:shd w:val="clear" w:color="auto" w:fill="FFFFFF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7.5-12.5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毫升</w:t>
            </w:r>
            <w:r>
              <w:rPr>
                <w:rFonts w:ascii="Times New Roman" w:eastAsia="Helvetica" w:hAnsi="Times New Roman" w:cs="Times New Roman"/>
                <w:color w:val="333333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宋体" w:eastAsia="宋体" w:hAnsi="宋体" w:cs="宋体" w:hint="eastAsia"/>
                <w:color w:val="333333"/>
                <w:sz w:val="18"/>
                <w:szCs w:val="18"/>
                <w:shd w:val="clear" w:color="auto" w:fill="FFFFFF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黄曲条</w:t>
            </w:r>
          </w:p>
          <w:p w:rsidR="001D3FD8" w:rsidRDefault="001D3FD8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18"/>
                <w:szCs w:val="18"/>
              </w:rPr>
              <w:t>跳甲</w:t>
            </w:r>
          </w:p>
        </w:tc>
        <w:tc>
          <w:tcPr>
            <w:tcW w:w="1493" w:type="pct"/>
            <w:vMerge w:val="restart"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发病初期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溴氯虫酰胺可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分散油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24~28 mL/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35%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虫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螨腈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·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啶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虫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脒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15~25 mL/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300 g/L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氯虫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·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噻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虫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嗪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27.8~33.3 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mL/</w:t>
            </w: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喷淋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或灌根</w:t>
            </w:r>
            <w:proofErr w:type="gramEnd"/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14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菜青虫</w:t>
            </w:r>
          </w:p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小菜蛾</w:t>
            </w:r>
          </w:p>
        </w:tc>
        <w:tc>
          <w:tcPr>
            <w:tcW w:w="1493" w:type="pct"/>
            <w:vMerge w:val="restart"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发病初期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16000 IU/mg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苏云金杆菌可湿性粉剂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100~300 g/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溴氰虫酰胺可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分散油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10~14 mL/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4.5%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高效氯氰菊酯乳油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15~40 mL/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 w:val="restar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甜菜夜蛾</w:t>
            </w:r>
          </w:p>
        </w:tc>
        <w:tc>
          <w:tcPr>
            <w:tcW w:w="1493" w:type="pct"/>
            <w:vMerge w:val="restart"/>
            <w:tcMar>
              <w:top w:w="12" w:type="dxa"/>
              <w:left w:w="12" w:type="dxa"/>
              <w:right w:w="12" w:type="dxa"/>
            </w:tcMar>
          </w:tcPr>
          <w:p w:rsidR="001D3FD8" w:rsidRDefault="001D3FD8" w:rsidP="00092C56">
            <w:pPr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发病初期</w:t>
            </w: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2%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甲氨基阿维菌素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苯甲酸盐微乳剂</w:t>
            </w:r>
            <w:proofErr w:type="gramEnd"/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5~7 mL/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center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6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150 g/L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茚虫威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14~18 mL/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7</w:t>
            </w:r>
          </w:p>
        </w:tc>
      </w:tr>
      <w:tr w:rsidR="001D3FD8" w:rsidTr="001D3FD8">
        <w:trPr>
          <w:trHeight w:val="493"/>
        </w:trPr>
        <w:tc>
          <w:tcPr>
            <w:tcW w:w="445" w:type="pct"/>
            <w:vMerge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pct"/>
            <w:vMerge/>
            <w:tcMar>
              <w:top w:w="12" w:type="dxa"/>
              <w:left w:w="12" w:type="dxa"/>
              <w:right w:w="12" w:type="dxa"/>
            </w:tcMar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49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10%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虫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螨腈</w:t>
            </w:r>
            <w:proofErr w:type="gramEnd"/>
            <w:r>
              <w:rPr>
                <w:rFonts w:ascii="Times New Roman" w:hAnsi="Times New Roman" w:cs="Times New Roman"/>
                <w:kern w:val="0"/>
                <w:sz w:val="20"/>
                <w:szCs w:val="20"/>
              </w:rPr>
              <w:t>悬浮剂</w:t>
            </w:r>
          </w:p>
        </w:tc>
        <w:tc>
          <w:tcPr>
            <w:tcW w:w="721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widowControl/>
              <w:jc w:val="left"/>
              <w:textAlignment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50~70 mL/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亩</w:t>
            </w:r>
          </w:p>
        </w:tc>
        <w:tc>
          <w:tcPr>
            <w:tcW w:w="553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喷雾</w:t>
            </w:r>
          </w:p>
        </w:tc>
        <w:tc>
          <w:tcPr>
            <w:tcW w:w="294" w:type="pct"/>
            <w:tcMar>
              <w:top w:w="12" w:type="dxa"/>
              <w:left w:w="12" w:type="dxa"/>
              <w:right w:w="12" w:type="dxa"/>
            </w:tcMar>
            <w:vAlign w:val="center"/>
          </w:tcPr>
          <w:p w:rsidR="001D3FD8" w:rsidRDefault="001D3FD8">
            <w:pPr>
              <w:jc w:val="center"/>
              <w:rPr>
                <w:rFonts w:ascii="Times New Roman" w:eastAsia="宋体" w:hAnsi="Times New Roman" w:cs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14</w:t>
            </w:r>
          </w:p>
        </w:tc>
      </w:tr>
    </w:tbl>
    <w:p w:rsidR="008410F1" w:rsidRDefault="00FF7205" w:rsidP="00092C56">
      <w:pPr>
        <w:pStyle w:val="1"/>
        <w:spacing w:before="156" w:after="156" w:line="300" w:lineRule="auto"/>
        <w:ind w:firstLineChars="0" w:firstLine="0"/>
      </w:pPr>
      <w:r>
        <w:rPr>
          <w:rFonts w:eastAsiaTheme="minorEastAsia"/>
          <w:kern w:val="0"/>
          <w:sz w:val="20"/>
          <w:szCs w:val="20"/>
        </w:rPr>
        <w:t>注：农药使用以最新版本</w:t>
      </w:r>
      <w:r>
        <w:rPr>
          <w:rFonts w:eastAsiaTheme="minorEastAsia"/>
          <w:kern w:val="0"/>
          <w:sz w:val="20"/>
          <w:szCs w:val="20"/>
        </w:rPr>
        <w:t>NY/T 393</w:t>
      </w:r>
      <w:r w:rsidR="001D3FD8">
        <w:rPr>
          <w:rFonts w:eastAsiaTheme="minorEastAsia"/>
          <w:kern w:val="0"/>
          <w:sz w:val="20"/>
          <w:szCs w:val="20"/>
        </w:rPr>
        <w:t>的规定为准</w:t>
      </w:r>
    </w:p>
    <w:sectPr w:rsidR="008410F1" w:rsidSect="00D241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88A" w:rsidRDefault="000F688A" w:rsidP="0058708B">
      <w:r>
        <w:separator/>
      </w:r>
    </w:p>
  </w:endnote>
  <w:endnote w:type="continuationSeparator" w:id="0">
    <w:p w:rsidR="000F688A" w:rsidRDefault="000F688A" w:rsidP="00587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88A" w:rsidRDefault="000F688A" w:rsidP="0058708B">
      <w:r>
        <w:separator/>
      </w:r>
    </w:p>
  </w:footnote>
  <w:footnote w:type="continuationSeparator" w:id="0">
    <w:p w:rsidR="000F688A" w:rsidRDefault="000F688A" w:rsidP="00587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367D81"/>
    <w:rsid w:val="000078BA"/>
    <w:rsid w:val="00010D47"/>
    <w:rsid w:val="00016751"/>
    <w:rsid w:val="00032981"/>
    <w:rsid w:val="00041193"/>
    <w:rsid w:val="00047F36"/>
    <w:rsid w:val="00052D53"/>
    <w:rsid w:val="000800AB"/>
    <w:rsid w:val="0008562D"/>
    <w:rsid w:val="00092C56"/>
    <w:rsid w:val="000945C0"/>
    <w:rsid w:val="00097475"/>
    <w:rsid w:val="000A3209"/>
    <w:rsid w:val="000A7B61"/>
    <w:rsid w:val="000B7837"/>
    <w:rsid w:val="000D6298"/>
    <w:rsid w:val="000D718D"/>
    <w:rsid w:val="000F28D3"/>
    <w:rsid w:val="000F688A"/>
    <w:rsid w:val="001000D3"/>
    <w:rsid w:val="00101686"/>
    <w:rsid w:val="00102BAF"/>
    <w:rsid w:val="001214BA"/>
    <w:rsid w:val="00131E86"/>
    <w:rsid w:val="00140FDC"/>
    <w:rsid w:val="0014157B"/>
    <w:rsid w:val="00147FD4"/>
    <w:rsid w:val="00155F56"/>
    <w:rsid w:val="00164365"/>
    <w:rsid w:val="00166DC5"/>
    <w:rsid w:val="00173CA5"/>
    <w:rsid w:val="001759BA"/>
    <w:rsid w:val="00196F6A"/>
    <w:rsid w:val="001A1A18"/>
    <w:rsid w:val="001C7D6C"/>
    <w:rsid w:val="001D1D92"/>
    <w:rsid w:val="001D33B6"/>
    <w:rsid w:val="001D3FD8"/>
    <w:rsid w:val="001D426D"/>
    <w:rsid w:val="001E1AE2"/>
    <w:rsid w:val="001E5770"/>
    <w:rsid w:val="002122A5"/>
    <w:rsid w:val="00230059"/>
    <w:rsid w:val="00246596"/>
    <w:rsid w:val="00246C45"/>
    <w:rsid w:val="00256B35"/>
    <w:rsid w:val="00273CF5"/>
    <w:rsid w:val="00285292"/>
    <w:rsid w:val="002A6F99"/>
    <w:rsid w:val="002B75AA"/>
    <w:rsid w:val="002F2F51"/>
    <w:rsid w:val="003415A1"/>
    <w:rsid w:val="00342263"/>
    <w:rsid w:val="00343081"/>
    <w:rsid w:val="003568E3"/>
    <w:rsid w:val="003636E5"/>
    <w:rsid w:val="00367D81"/>
    <w:rsid w:val="0038067B"/>
    <w:rsid w:val="00380E97"/>
    <w:rsid w:val="003A0311"/>
    <w:rsid w:val="003B5258"/>
    <w:rsid w:val="003E5A67"/>
    <w:rsid w:val="003E6EC0"/>
    <w:rsid w:val="003F5A29"/>
    <w:rsid w:val="0040382D"/>
    <w:rsid w:val="00417A29"/>
    <w:rsid w:val="004228D4"/>
    <w:rsid w:val="00423DE4"/>
    <w:rsid w:val="00432245"/>
    <w:rsid w:val="00454821"/>
    <w:rsid w:val="00455D2C"/>
    <w:rsid w:val="004565C7"/>
    <w:rsid w:val="00457CF8"/>
    <w:rsid w:val="00467786"/>
    <w:rsid w:val="00487692"/>
    <w:rsid w:val="00497A20"/>
    <w:rsid w:val="004A057E"/>
    <w:rsid w:val="004A4CD9"/>
    <w:rsid w:val="004B35FC"/>
    <w:rsid w:val="004E38FA"/>
    <w:rsid w:val="004E6B0C"/>
    <w:rsid w:val="005132CE"/>
    <w:rsid w:val="0051610C"/>
    <w:rsid w:val="005308F9"/>
    <w:rsid w:val="005326AB"/>
    <w:rsid w:val="0054418F"/>
    <w:rsid w:val="00550B73"/>
    <w:rsid w:val="00567796"/>
    <w:rsid w:val="0057375F"/>
    <w:rsid w:val="005829FD"/>
    <w:rsid w:val="0058708B"/>
    <w:rsid w:val="005960D9"/>
    <w:rsid w:val="00596CA0"/>
    <w:rsid w:val="005974F1"/>
    <w:rsid w:val="005C46BA"/>
    <w:rsid w:val="005E3C8C"/>
    <w:rsid w:val="005F0760"/>
    <w:rsid w:val="005F4A93"/>
    <w:rsid w:val="00604633"/>
    <w:rsid w:val="0061200B"/>
    <w:rsid w:val="00614B29"/>
    <w:rsid w:val="00615256"/>
    <w:rsid w:val="006158DB"/>
    <w:rsid w:val="0062721A"/>
    <w:rsid w:val="00630E82"/>
    <w:rsid w:val="00631D20"/>
    <w:rsid w:val="006325EF"/>
    <w:rsid w:val="006345B2"/>
    <w:rsid w:val="006435A3"/>
    <w:rsid w:val="006504A2"/>
    <w:rsid w:val="00651C91"/>
    <w:rsid w:val="00662C3A"/>
    <w:rsid w:val="00681E34"/>
    <w:rsid w:val="006869AD"/>
    <w:rsid w:val="00691CDA"/>
    <w:rsid w:val="006954D0"/>
    <w:rsid w:val="006978E7"/>
    <w:rsid w:val="006A2525"/>
    <w:rsid w:val="006A63B2"/>
    <w:rsid w:val="006B17F4"/>
    <w:rsid w:val="006B3912"/>
    <w:rsid w:val="006C2BEB"/>
    <w:rsid w:val="006D093D"/>
    <w:rsid w:val="006D35E2"/>
    <w:rsid w:val="00700193"/>
    <w:rsid w:val="00700FC0"/>
    <w:rsid w:val="00720832"/>
    <w:rsid w:val="007208E4"/>
    <w:rsid w:val="00724B8E"/>
    <w:rsid w:val="00725696"/>
    <w:rsid w:val="00731484"/>
    <w:rsid w:val="00732332"/>
    <w:rsid w:val="00752654"/>
    <w:rsid w:val="00756D94"/>
    <w:rsid w:val="007734B9"/>
    <w:rsid w:val="00785411"/>
    <w:rsid w:val="0079482C"/>
    <w:rsid w:val="0079592B"/>
    <w:rsid w:val="007A1D6C"/>
    <w:rsid w:val="007A73F2"/>
    <w:rsid w:val="007F1CFD"/>
    <w:rsid w:val="0080333A"/>
    <w:rsid w:val="008033C0"/>
    <w:rsid w:val="008110D4"/>
    <w:rsid w:val="008149AF"/>
    <w:rsid w:val="00821B7A"/>
    <w:rsid w:val="0082296A"/>
    <w:rsid w:val="008410F1"/>
    <w:rsid w:val="0084288F"/>
    <w:rsid w:val="00847ECE"/>
    <w:rsid w:val="0087766A"/>
    <w:rsid w:val="008854AF"/>
    <w:rsid w:val="008958B0"/>
    <w:rsid w:val="008A668F"/>
    <w:rsid w:val="008B21C1"/>
    <w:rsid w:val="008C39FC"/>
    <w:rsid w:val="008D461B"/>
    <w:rsid w:val="008E6955"/>
    <w:rsid w:val="008F50EB"/>
    <w:rsid w:val="00913274"/>
    <w:rsid w:val="00915A08"/>
    <w:rsid w:val="009215EF"/>
    <w:rsid w:val="00922387"/>
    <w:rsid w:val="00936FEA"/>
    <w:rsid w:val="00937E7B"/>
    <w:rsid w:val="009427F5"/>
    <w:rsid w:val="0095593F"/>
    <w:rsid w:val="009800F0"/>
    <w:rsid w:val="0098198E"/>
    <w:rsid w:val="009B07A8"/>
    <w:rsid w:val="009B62EB"/>
    <w:rsid w:val="009C0A33"/>
    <w:rsid w:val="009C537C"/>
    <w:rsid w:val="009C6010"/>
    <w:rsid w:val="009D7E39"/>
    <w:rsid w:val="00A0161D"/>
    <w:rsid w:val="00A1773A"/>
    <w:rsid w:val="00A17F74"/>
    <w:rsid w:val="00A34658"/>
    <w:rsid w:val="00A36CF9"/>
    <w:rsid w:val="00A43012"/>
    <w:rsid w:val="00A62629"/>
    <w:rsid w:val="00A631BB"/>
    <w:rsid w:val="00A72E9D"/>
    <w:rsid w:val="00A903AC"/>
    <w:rsid w:val="00AB4F20"/>
    <w:rsid w:val="00AB5C59"/>
    <w:rsid w:val="00AC5C18"/>
    <w:rsid w:val="00AE2894"/>
    <w:rsid w:val="00AE5AD4"/>
    <w:rsid w:val="00AF316F"/>
    <w:rsid w:val="00AF6722"/>
    <w:rsid w:val="00B34DAD"/>
    <w:rsid w:val="00B46084"/>
    <w:rsid w:val="00B71BCB"/>
    <w:rsid w:val="00BA3E0E"/>
    <w:rsid w:val="00BB0EBC"/>
    <w:rsid w:val="00BC01AD"/>
    <w:rsid w:val="00BC3944"/>
    <w:rsid w:val="00BD05CD"/>
    <w:rsid w:val="00BE7988"/>
    <w:rsid w:val="00BF1A85"/>
    <w:rsid w:val="00C024D2"/>
    <w:rsid w:val="00C0553F"/>
    <w:rsid w:val="00C07BEB"/>
    <w:rsid w:val="00C34BBE"/>
    <w:rsid w:val="00C47949"/>
    <w:rsid w:val="00C51050"/>
    <w:rsid w:val="00CB1B6C"/>
    <w:rsid w:val="00CB7BB8"/>
    <w:rsid w:val="00CC33C2"/>
    <w:rsid w:val="00CC53C7"/>
    <w:rsid w:val="00CC740F"/>
    <w:rsid w:val="00CD4220"/>
    <w:rsid w:val="00CD5CC9"/>
    <w:rsid w:val="00CE0E58"/>
    <w:rsid w:val="00CE1578"/>
    <w:rsid w:val="00CE200B"/>
    <w:rsid w:val="00CE7E3E"/>
    <w:rsid w:val="00CF5BF1"/>
    <w:rsid w:val="00D210EA"/>
    <w:rsid w:val="00D241D1"/>
    <w:rsid w:val="00D24D57"/>
    <w:rsid w:val="00D51A66"/>
    <w:rsid w:val="00D57565"/>
    <w:rsid w:val="00D64BBE"/>
    <w:rsid w:val="00D85245"/>
    <w:rsid w:val="00D87C01"/>
    <w:rsid w:val="00D9406B"/>
    <w:rsid w:val="00D959F7"/>
    <w:rsid w:val="00DA58CB"/>
    <w:rsid w:val="00DB5F95"/>
    <w:rsid w:val="00DB794E"/>
    <w:rsid w:val="00DC2A50"/>
    <w:rsid w:val="00DD1F31"/>
    <w:rsid w:val="00DD4574"/>
    <w:rsid w:val="00DD5E9D"/>
    <w:rsid w:val="00E05E44"/>
    <w:rsid w:val="00E234CE"/>
    <w:rsid w:val="00E27C9B"/>
    <w:rsid w:val="00E356A7"/>
    <w:rsid w:val="00E3661A"/>
    <w:rsid w:val="00E562E0"/>
    <w:rsid w:val="00E569E7"/>
    <w:rsid w:val="00E672ED"/>
    <w:rsid w:val="00E85024"/>
    <w:rsid w:val="00E87BCB"/>
    <w:rsid w:val="00EA5940"/>
    <w:rsid w:val="00EB779F"/>
    <w:rsid w:val="00EE25C9"/>
    <w:rsid w:val="00EE2986"/>
    <w:rsid w:val="00EE3EDC"/>
    <w:rsid w:val="00EE64E9"/>
    <w:rsid w:val="00EF0B80"/>
    <w:rsid w:val="00EF44DE"/>
    <w:rsid w:val="00F003C5"/>
    <w:rsid w:val="00F02E60"/>
    <w:rsid w:val="00F05186"/>
    <w:rsid w:val="00F14D42"/>
    <w:rsid w:val="00F30AA7"/>
    <w:rsid w:val="00F47B0A"/>
    <w:rsid w:val="00F51294"/>
    <w:rsid w:val="00F573FA"/>
    <w:rsid w:val="00F621BF"/>
    <w:rsid w:val="00F65F92"/>
    <w:rsid w:val="00F824E5"/>
    <w:rsid w:val="00F836D7"/>
    <w:rsid w:val="00F838E9"/>
    <w:rsid w:val="00F86904"/>
    <w:rsid w:val="00F96F67"/>
    <w:rsid w:val="00FC07CD"/>
    <w:rsid w:val="00FD10B3"/>
    <w:rsid w:val="00FE22E1"/>
    <w:rsid w:val="00FF7205"/>
    <w:rsid w:val="01670AEC"/>
    <w:rsid w:val="01671B42"/>
    <w:rsid w:val="02FF30FB"/>
    <w:rsid w:val="05E04F34"/>
    <w:rsid w:val="09A00A2A"/>
    <w:rsid w:val="0BDA75E4"/>
    <w:rsid w:val="0DFF066C"/>
    <w:rsid w:val="0ED41D70"/>
    <w:rsid w:val="0FFF0A2F"/>
    <w:rsid w:val="12CF7BE6"/>
    <w:rsid w:val="13A154D5"/>
    <w:rsid w:val="152824F0"/>
    <w:rsid w:val="15802F54"/>
    <w:rsid w:val="15D578EC"/>
    <w:rsid w:val="162E5D1E"/>
    <w:rsid w:val="17914CA3"/>
    <w:rsid w:val="1C637A28"/>
    <w:rsid w:val="1DBD4ED6"/>
    <w:rsid w:val="1EA71F67"/>
    <w:rsid w:val="1FE92DC7"/>
    <w:rsid w:val="21341686"/>
    <w:rsid w:val="2F6F4B8E"/>
    <w:rsid w:val="2FCB3DE5"/>
    <w:rsid w:val="30C71DFB"/>
    <w:rsid w:val="31566D41"/>
    <w:rsid w:val="33E3779F"/>
    <w:rsid w:val="35597291"/>
    <w:rsid w:val="377A1FEE"/>
    <w:rsid w:val="379A23BA"/>
    <w:rsid w:val="37C94331"/>
    <w:rsid w:val="3AA66981"/>
    <w:rsid w:val="3BFC3256"/>
    <w:rsid w:val="3F4F2A66"/>
    <w:rsid w:val="405D2C1A"/>
    <w:rsid w:val="43240C95"/>
    <w:rsid w:val="463255F4"/>
    <w:rsid w:val="479105C2"/>
    <w:rsid w:val="4812704D"/>
    <w:rsid w:val="484E6AE5"/>
    <w:rsid w:val="48991D9F"/>
    <w:rsid w:val="49E759AE"/>
    <w:rsid w:val="4B4C0FEB"/>
    <w:rsid w:val="4B597B03"/>
    <w:rsid w:val="4C3226F8"/>
    <w:rsid w:val="4E0557A8"/>
    <w:rsid w:val="4E6401A6"/>
    <w:rsid w:val="512B0F6B"/>
    <w:rsid w:val="5312177F"/>
    <w:rsid w:val="53EE56A1"/>
    <w:rsid w:val="544562E1"/>
    <w:rsid w:val="567366C7"/>
    <w:rsid w:val="56C8038B"/>
    <w:rsid w:val="56F7134C"/>
    <w:rsid w:val="585C3B6C"/>
    <w:rsid w:val="58C53561"/>
    <w:rsid w:val="5A527FC3"/>
    <w:rsid w:val="5A550D14"/>
    <w:rsid w:val="5C147772"/>
    <w:rsid w:val="5C217B31"/>
    <w:rsid w:val="5E07767D"/>
    <w:rsid w:val="5EF05E94"/>
    <w:rsid w:val="5FD77CA1"/>
    <w:rsid w:val="63215B79"/>
    <w:rsid w:val="63C31E62"/>
    <w:rsid w:val="67D96E00"/>
    <w:rsid w:val="68172488"/>
    <w:rsid w:val="681855DD"/>
    <w:rsid w:val="6863475B"/>
    <w:rsid w:val="6AF63737"/>
    <w:rsid w:val="6B7524FA"/>
    <w:rsid w:val="6CE025CE"/>
    <w:rsid w:val="6FBA62B6"/>
    <w:rsid w:val="70FD5EAB"/>
    <w:rsid w:val="71384790"/>
    <w:rsid w:val="782378B4"/>
    <w:rsid w:val="78AD2767"/>
    <w:rsid w:val="796F33EF"/>
    <w:rsid w:val="7CBE007C"/>
    <w:rsid w:val="7F31720C"/>
    <w:rsid w:val="7FAB032C"/>
    <w:rsid w:val="7FD74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  <o:rules v:ext="edit">
        <o:r id="V:Rule1" type="connector" idref="#AutoShape 3"/>
        <o:r id="V:Rule2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1D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sid w:val="00D241D1"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rsid w:val="00D241D1"/>
    <w:pPr>
      <w:ind w:leftChars="2500" w:left="100"/>
    </w:pPr>
  </w:style>
  <w:style w:type="paragraph" w:styleId="2">
    <w:name w:val="Body Text Indent 2"/>
    <w:basedOn w:val="a"/>
    <w:link w:val="2Char"/>
    <w:qFormat/>
    <w:rsid w:val="00D241D1"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sid w:val="00D241D1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D241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D241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sid w:val="00D241D1"/>
    <w:rPr>
      <w:b/>
      <w:bCs/>
    </w:rPr>
  </w:style>
  <w:style w:type="character" w:styleId="a9">
    <w:name w:val="Hyperlink"/>
    <w:basedOn w:val="a0"/>
    <w:uiPriority w:val="99"/>
    <w:unhideWhenUsed/>
    <w:qFormat/>
    <w:rsid w:val="00D241D1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sid w:val="00D241D1"/>
    <w:rPr>
      <w:sz w:val="21"/>
      <w:szCs w:val="21"/>
    </w:rPr>
  </w:style>
  <w:style w:type="paragraph" w:customStyle="1" w:styleId="1">
    <w:name w:val="列出段落1"/>
    <w:basedOn w:val="a"/>
    <w:qFormat/>
    <w:rsid w:val="00D241D1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sid w:val="00D241D1"/>
    <w:rPr>
      <w:rFonts w:ascii="Times New Roman" w:eastAsia="宋体" w:hAnsi="Times New Roman" w:cs="Times New Roman"/>
      <w:szCs w:val="21"/>
    </w:rPr>
  </w:style>
  <w:style w:type="paragraph" w:styleId="ab">
    <w:name w:val="List Paragraph"/>
    <w:basedOn w:val="a"/>
    <w:uiPriority w:val="34"/>
    <w:qFormat/>
    <w:rsid w:val="00D241D1"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sid w:val="00D241D1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D241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D241D1"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  <w:rsid w:val="00D241D1"/>
  </w:style>
  <w:style w:type="paragraph" w:customStyle="1" w:styleId="ac">
    <w:name w:val="附录标识"/>
    <w:basedOn w:val="a"/>
    <w:next w:val="a"/>
    <w:qFormat/>
    <w:rsid w:val="00D241D1"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customStyle="1" w:styleId="Char">
    <w:name w:val="批注文字 Char"/>
    <w:basedOn w:val="a0"/>
    <w:link w:val="a3"/>
    <w:uiPriority w:val="99"/>
    <w:semiHidden/>
    <w:qFormat/>
    <w:rsid w:val="00D241D1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sid w:val="00D241D1"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pPr>
      <w:jc w:val="left"/>
    </w:p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Char"/>
    <w:qFormat/>
    <w:pPr>
      <w:spacing w:line="288" w:lineRule="auto"/>
      <w:ind w:firstLine="435"/>
    </w:pPr>
    <w:rPr>
      <w:rFonts w:ascii="Times New Roman" w:eastAsia="宋体" w:hAnsi="Times New Roman" w:cs="Times New Roman"/>
      <w:szCs w:val="21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annotation subject"/>
    <w:basedOn w:val="a3"/>
    <w:next w:val="a3"/>
    <w:link w:val="Char4"/>
    <w:uiPriority w:val="99"/>
    <w:semiHidden/>
    <w:unhideWhenUsed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1">
    <w:name w:val="列出段落1"/>
    <w:basedOn w:val="a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2Char">
    <w:name w:val="正文文本缩进 2 Char"/>
    <w:basedOn w:val="a0"/>
    <w:link w:val="2"/>
    <w:qFormat/>
    <w:rPr>
      <w:rFonts w:ascii="Times New Roman" w:eastAsia="宋体" w:hAnsi="Times New Roman" w:cs="Times New Roman"/>
      <w:szCs w:val="21"/>
    </w:rPr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日期 Char"/>
    <w:basedOn w:val="a0"/>
    <w:link w:val="a4"/>
    <w:uiPriority w:val="99"/>
    <w:semiHidden/>
    <w:qFormat/>
  </w:style>
  <w:style w:type="paragraph" w:customStyle="1" w:styleId="ac">
    <w:name w:val="附录标识"/>
    <w:basedOn w:val="a"/>
    <w:next w:val="a"/>
    <w:qFormat/>
    <w:pPr>
      <w:keepNext/>
      <w:widowControl/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 w:cs="Times New Roman"/>
      <w:kern w:val="0"/>
      <w:szCs w:val="20"/>
    </w:rPr>
  </w:style>
  <w:style w:type="character" w:customStyle="1" w:styleId="Char">
    <w:name w:val="批注文字 Char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Char4">
    <w:name w:val="批注主题 Char"/>
    <w:basedOn w:val="Char"/>
    <w:link w:val="a8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706</Words>
  <Characters>4026</Characters>
  <Application>Microsoft Office Word</Application>
  <DocSecurity>0</DocSecurity>
  <Lines>33</Lines>
  <Paragraphs>9</Paragraphs>
  <ScaleCrop>false</ScaleCrop>
  <Company>神州网信技术有限公司</Company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TONY TANG</cp:lastModifiedBy>
  <cp:revision>32</cp:revision>
  <cp:lastPrinted>2021-12-01T01:28:00Z</cp:lastPrinted>
  <dcterms:created xsi:type="dcterms:W3CDTF">2021-12-01T02:08:00Z</dcterms:created>
  <dcterms:modified xsi:type="dcterms:W3CDTF">2022-04-13T07:32:00Z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78B00687CE41471895AC3A809EA0C794</vt:lpwstr>
  </property>
</Properties>
</file>