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156" w:beforeLines="50" w:after="156" w:afterLines="50" w:line="400" w:lineRule="atLeast"/>
        <w:ind w:firstLine="0" w:firstLineChars="0"/>
        <w:contextualSpacing/>
        <w:rPr>
          <w:rFonts w:eastAsiaTheme="minorEastAsia"/>
          <w:sz w:val="28"/>
          <w:szCs w:val="28"/>
        </w:rPr>
      </w:pPr>
    </w:p>
    <w:p>
      <w:pPr>
        <w:pStyle w:val="12"/>
        <w:spacing w:before="156" w:beforeLines="50" w:after="156" w:afterLines="50" w:line="400" w:lineRule="atLeast"/>
        <w:ind w:left="357" w:firstLine="0" w:firstLineChars="0"/>
        <w:contextualSpacing/>
        <w:jc w:val="distribute"/>
        <w:rPr>
          <w:rFonts w:eastAsia="黑体"/>
          <w:sz w:val="44"/>
          <w:szCs w:val="44"/>
        </w:rPr>
      </w:pPr>
    </w:p>
    <w:p>
      <w:pPr>
        <w:pStyle w:val="12"/>
        <w:spacing w:before="156" w:beforeLines="50" w:after="156" w:afterLines="50" w:line="400" w:lineRule="atLeast"/>
        <w:ind w:left="357" w:firstLine="0" w:firstLineChars="0"/>
        <w:contextualSpacing/>
        <w:jc w:val="distribute"/>
        <w:rPr>
          <w:rFonts w:eastAsia="黑体"/>
          <w:sz w:val="48"/>
          <w:szCs w:val="48"/>
        </w:rPr>
      </w:pPr>
      <w:r>
        <w:rPr>
          <w:rFonts w:eastAsia="黑体"/>
          <w:sz w:val="48"/>
          <w:szCs w:val="48"/>
        </w:rPr>
        <w:t>绿色食品生产操作规程</w:t>
      </w:r>
    </w:p>
    <w:p>
      <w:pPr>
        <w:pStyle w:val="12"/>
        <w:spacing w:before="156" w:beforeLines="50" w:after="156" w:afterLines="50" w:line="400" w:lineRule="atLeast"/>
        <w:ind w:left="357" w:firstLine="0" w:firstLineChars="0"/>
        <w:contextualSpacing/>
        <w:jc w:val="right"/>
        <w:rPr>
          <w:rFonts w:eastAsia="黑体"/>
          <w:sz w:val="28"/>
          <w:szCs w:val="28"/>
        </w:rPr>
      </w:pPr>
      <w:r>
        <w:rPr>
          <w:rFonts w:eastAsia="黑体"/>
          <w:sz w:val="28"/>
          <w:szCs w:val="28"/>
        </w:rPr>
        <w:t>GFGC 2023A266</w:t>
      </w:r>
    </w:p>
    <w:p>
      <w:pPr>
        <w:pStyle w:val="12"/>
        <w:spacing w:before="156" w:beforeLines="50" w:after="156" w:afterLines="50" w:line="400" w:lineRule="atLeast"/>
        <w:ind w:left="357" w:firstLine="0" w:firstLineChars="0"/>
        <w:contextualSpacing/>
        <w:jc w:val="right"/>
        <w:rPr>
          <w:rFonts w:eastAsia="黑体"/>
          <w:sz w:val="28"/>
          <w:szCs w:val="28"/>
        </w:rPr>
      </w:pPr>
      <w:r>
        <w:rPr>
          <w:rFonts w:eastAsia="黑体"/>
          <w:sz w:val="28"/>
          <w:szCs w:val="28"/>
        </w:rPr>
        <mc:AlternateContent>
          <mc:Choice Requires="wps">
            <w:drawing>
              <wp:anchor distT="0" distB="0" distL="114300" distR="114300" simplePos="0" relativeHeight="251660288" behindDoc="0" locked="0" layoutInCell="1" allowOverlap="1">
                <wp:simplePos x="0" y="0"/>
                <wp:positionH relativeFrom="column">
                  <wp:posOffset>160020</wp:posOffset>
                </wp:positionH>
                <wp:positionV relativeFrom="paragraph">
                  <wp:posOffset>76200</wp:posOffset>
                </wp:positionV>
                <wp:extent cx="5173980" cy="0"/>
                <wp:effectExtent l="7620" t="9525" r="9525" b="9525"/>
                <wp:wrapNone/>
                <wp:docPr id="2" name="AutoShape 3"/>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12.6pt;margin-top:6pt;height:0pt;width:407.4pt;z-index:251660288;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jhrfQNQAAAAIAQAADwAAAAAAAAABACAAAAAi&#10;AAAAZHJzL2Rvd25yZXYueG1sUEsBAhQAFAAAAAgAh07iQNRGT0jVAQAAsgMAAA4AAAAAAAAAAQAg&#10;AAAAIwEAAGRycy9lMm9Eb2MueG1sUEsFBgAAAAAGAAYAWQEAAGoFAAAAAA==&#10;">
                <v:fill on="f" focussize="0,0"/>
                <v:stroke color="#000000" joinstyle="round"/>
                <v:imagedata o:title=""/>
                <o:lock v:ext="edit" aspectratio="f"/>
              </v:shape>
            </w:pict>
          </mc:Fallback>
        </mc:AlternateContent>
      </w: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360" w:lineRule="auto"/>
        <w:ind w:left="357" w:firstLine="0" w:firstLineChars="0"/>
        <w:contextualSpacing/>
        <w:jc w:val="center"/>
        <w:rPr>
          <w:rFonts w:eastAsia="黑体"/>
          <w:sz w:val="48"/>
          <w:szCs w:val="48"/>
        </w:rPr>
      </w:pPr>
      <w:r>
        <w:rPr>
          <w:rFonts w:hint="eastAsia" w:eastAsia="黑体"/>
          <w:sz w:val="48"/>
          <w:szCs w:val="48"/>
        </w:rPr>
        <w:t>陕甘宁等地区</w:t>
      </w:r>
      <w:r>
        <w:rPr>
          <w:rFonts w:eastAsia="黑体"/>
          <w:sz w:val="48"/>
          <w:szCs w:val="48"/>
        </w:rPr>
        <w:br w:type="textWrapping"/>
      </w:r>
      <w:r>
        <w:rPr>
          <w:rFonts w:eastAsia="黑体"/>
          <w:sz w:val="48"/>
          <w:szCs w:val="48"/>
        </w:rPr>
        <w:t>绿色食品南瓜生产操作规程</w:t>
      </w:r>
    </w:p>
    <w:p>
      <w:pPr>
        <w:pStyle w:val="12"/>
        <w:tabs>
          <w:tab w:val="left" w:pos="4192"/>
        </w:tabs>
        <w:spacing w:before="156" w:beforeLines="50" w:after="156" w:afterLines="50" w:line="400" w:lineRule="atLeast"/>
        <w:ind w:left="357" w:firstLine="0" w:firstLineChars="0"/>
        <w:contextualSpacing/>
        <w:rPr>
          <w:rFonts w:eastAsia="黑体"/>
          <w:sz w:val="32"/>
          <w:szCs w:val="32"/>
        </w:rPr>
      </w:pPr>
      <w:r>
        <w:rPr>
          <w:rFonts w:eastAsia="黑体"/>
          <w:sz w:val="32"/>
          <w:szCs w:val="32"/>
        </w:rPr>
        <w:tab/>
      </w:r>
    </w:p>
    <w:p>
      <w:pPr>
        <w:pStyle w:val="12"/>
        <w:spacing w:before="156" w:beforeLines="50" w:after="156" w:afterLines="50" w:line="400" w:lineRule="atLeast"/>
        <w:ind w:left="357" w:firstLine="0" w:firstLineChars="0"/>
        <w:contextualSpacing/>
        <w:jc w:val="center"/>
        <w:rPr>
          <w:rFonts w:eastAsia="黑体"/>
          <w:sz w:val="32"/>
          <w:szCs w:val="32"/>
        </w:rPr>
      </w:pPr>
      <w:r>
        <w:rPr>
          <w:rFonts w:hint="eastAsia" w:eastAsia="黑体"/>
          <w:sz w:val="32"/>
          <w:szCs w:val="32"/>
        </w:rPr>
        <w:t>（报批稿）</w:t>
      </w: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center"/>
        <w:rPr>
          <w:rFonts w:eastAsia="黑体"/>
          <w:sz w:val="32"/>
          <w:szCs w:val="32"/>
        </w:rPr>
      </w:pPr>
    </w:p>
    <w:p>
      <w:pPr>
        <w:pStyle w:val="12"/>
        <w:spacing w:before="156" w:beforeLines="50" w:after="156" w:afterLines="50" w:line="400" w:lineRule="atLeast"/>
        <w:ind w:left="357" w:firstLine="0" w:firstLineChars="0"/>
        <w:contextualSpacing/>
        <w:jc w:val="left"/>
        <w:rPr>
          <w:rFonts w:eastAsia="黑体"/>
          <w:sz w:val="28"/>
          <w:szCs w:val="28"/>
        </w:rPr>
      </w:pPr>
      <w:r>
        <w:rPr>
          <w:rFonts w:eastAsia="黑体"/>
          <w:sz w:val="28"/>
          <w:szCs w:val="28"/>
        </w:rPr>
        <w:t>2023-04-25发布                          2023-05-01实施</w:t>
      </w:r>
    </w:p>
    <w:p>
      <w:pPr>
        <w:pStyle w:val="12"/>
        <w:spacing w:before="156" w:beforeLines="50" w:after="156" w:afterLines="50" w:line="400" w:lineRule="atLeast"/>
        <w:ind w:left="357" w:firstLine="0" w:firstLineChars="0"/>
        <w:contextualSpacing/>
        <w:jc w:val="left"/>
        <w:rPr>
          <w:rFonts w:eastAsia="黑体"/>
          <w:sz w:val="24"/>
          <w:szCs w:val="24"/>
        </w:rPr>
      </w:pPr>
      <w:r>
        <w:rPr>
          <w:rFonts w:eastAsia="黑体"/>
          <w:sz w:val="24"/>
          <w:szCs w:val="24"/>
        </w:rPr>
        <mc:AlternateContent>
          <mc:Choice Requires="wps">
            <w:drawing>
              <wp:anchor distT="0" distB="0" distL="114300" distR="114300" simplePos="0" relativeHeight="251659264" behindDoc="0" locked="0" layoutInCell="1" allowOverlap="1">
                <wp:simplePos x="0" y="0"/>
                <wp:positionH relativeFrom="column">
                  <wp:posOffset>205740</wp:posOffset>
                </wp:positionH>
                <wp:positionV relativeFrom="paragraph">
                  <wp:posOffset>114300</wp:posOffset>
                </wp:positionV>
                <wp:extent cx="4853940" cy="15240"/>
                <wp:effectExtent l="5715" t="9525" r="7620" b="13335"/>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w:pict>
              <v:shape id="AutoShape 2" o:spid="_x0000_s1026" o:spt="32" type="#_x0000_t32" style="position:absolute;left:0pt;margin-left:16.2pt;margin-top:9pt;height:1.2pt;width:382.2pt;z-index:251659264;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BGotpHXAAAACAEAAA8AAAAAAAAA&#10;AQAgAAAAIgAAAGRycy9kb3ducmV2LnhtbFBLAQIUABQAAAAIAIdO4kDy9mVd2QEAALYDAAAOAAAA&#10;AAAAAAEAIAAAACYBAABkcnMvZTJvRG9jLnhtbFBLBQYAAAAABgAGAFkBAABxBQAAAAA=&#10;">
                <v:fill on="f" focussize="0,0"/>
                <v:stroke color="#000000" joinstyle="round"/>
                <v:imagedata o:title=""/>
                <o:lock v:ext="edit" aspectratio="f"/>
              </v:shape>
            </w:pict>
          </mc:Fallback>
        </mc:AlternateContent>
      </w:r>
    </w:p>
    <w:p>
      <w:pPr>
        <w:pStyle w:val="12"/>
        <w:spacing w:before="156" w:beforeLines="50" w:after="156" w:afterLines="50" w:line="400" w:lineRule="atLeast"/>
        <w:ind w:left="357" w:firstLine="0" w:firstLineChars="0"/>
        <w:contextualSpacing/>
        <w:jc w:val="center"/>
        <w:rPr>
          <w:rFonts w:eastAsia="黑体"/>
          <w:sz w:val="28"/>
          <w:szCs w:val="28"/>
        </w:rPr>
        <w:sectPr>
          <w:pgSz w:w="11906" w:h="16838"/>
          <w:pgMar w:top="1440" w:right="1800" w:bottom="1440" w:left="1800" w:header="851" w:footer="992" w:gutter="0"/>
          <w:cols w:space="425" w:num="1"/>
          <w:docGrid w:type="lines" w:linePitch="312" w:charSpace="0"/>
        </w:sectPr>
      </w:pPr>
      <w:r>
        <w:rPr>
          <w:rFonts w:eastAsia="华文中宋"/>
          <w:spacing w:val="71"/>
          <w:kern w:val="0"/>
          <w:sz w:val="32"/>
          <w:szCs w:val="32"/>
          <w:fitText w:val="4480" w:id="-1522797056"/>
        </w:rPr>
        <w:t>中国绿色食品发展中</w:t>
      </w:r>
      <w:r>
        <w:rPr>
          <w:rFonts w:eastAsia="华文中宋"/>
          <w:spacing w:val="1"/>
          <w:kern w:val="0"/>
          <w:sz w:val="32"/>
          <w:szCs w:val="32"/>
          <w:fitText w:val="4480" w:id="-1522797056"/>
        </w:rPr>
        <w:t>心</w:t>
      </w:r>
      <w:r>
        <w:rPr>
          <w:rFonts w:eastAsia="华文中宋"/>
          <w:kern w:val="0"/>
          <w:sz w:val="32"/>
          <w:szCs w:val="32"/>
        </w:rPr>
        <w:t xml:space="preserve">  </w:t>
      </w:r>
      <w:r>
        <w:rPr>
          <w:rFonts w:eastAsia="黑体"/>
          <w:sz w:val="28"/>
          <w:szCs w:val="28"/>
        </w:rPr>
        <w:t>发 布</w:t>
      </w:r>
    </w:p>
    <w:p>
      <w:pPr>
        <w:pStyle w:val="12"/>
        <w:spacing w:before="156" w:beforeLines="50" w:after="156" w:afterLines="50" w:line="400" w:lineRule="atLeast"/>
        <w:ind w:left="357" w:firstLine="0" w:firstLineChars="0"/>
        <w:contextualSpacing/>
        <w:jc w:val="center"/>
        <w:rPr>
          <w:rFonts w:eastAsia="黑体"/>
          <w:sz w:val="28"/>
          <w:szCs w:val="28"/>
        </w:rPr>
      </w:pPr>
    </w:p>
    <w:p>
      <w:pPr>
        <w:pStyle w:val="12"/>
        <w:spacing w:before="156" w:beforeLines="50" w:after="156" w:afterLines="50" w:line="400" w:lineRule="atLeast"/>
        <w:ind w:left="357" w:firstLine="0" w:firstLineChars="0"/>
        <w:contextualSpacing/>
        <w:jc w:val="center"/>
        <w:rPr>
          <w:rFonts w:eastAsia="黑体"/>
          <w:sz w:val="32"/>
          <w:szCs w:val="32"/>
        </w:rPr>
      </w:pPr>
      <w:r>
        <w:rPr>
          <w:rFonts w:eastAsia="黑体"/>
          <w:sz w:val="32"/>
          <w:szCs w:val="32"/>
        </w:rPr>
        <w:t>前  言</w:t>
      </w:r>
    </w:p>
    <w:p>
      <w:pPr>
        <w:pStyle w:val="14"/>
        <w:spacing w:line="360" w:lineRule="auto"/>
        <w:rPr>
          <w:rFonts w:ascii="Times New Roman"/>
          <w:szCs w:val="21"/>
        </w:rPr>
      </w:pPr>
      <w:r>
        <w:rPr>
          <w:rFonts w:ascii="Times New Roman"/>
          <w:szCs w:val="21"/>
        </w:rPr>
        <w:t>本规程由中国绿色食品发展中心提出并归口。</w:t>
      </w:r>
    </w:p>
    <w:p>
      <w:pPr>
        <w:pStyle w:val="14"/>
        <w:spacing w:line="360" w:lineRule="auto"/>
      </w:pPr>
      <w:r>
        <w:rPr>
          <w:rFonts w:hint="eastAsia" w:ascii="Times New Roman"/>
          <w:szCs w:val="21"/>
        </w:rPr>
        <w:t>本规程起草单位：中国农业科学院蔬菜花卉研究所、西北农林科技大学、陕西省农产品质量安全中心、内蒙古自治区农畜产品质量安全中心、山西农业大学、甘肃省农业科学院、青海大学、海东市平安区农业农村和科技局、宁夏大学、中国农业科</w:t>
      </w:r>
      <w:r>
        <w:rPr>
          <w:rFonts w:hint="eastAsia" w:ascii="Times New Roman"/>
          <w:szCs w:val="21"/>
          <w:lang w:eastAsia="zh-CN"/>
        </w:rPr>
        <w:t>学</w:t>
      </w:r>
      <w:r>
        <w:rPr>
          <w:rFonts w:hint="eastAsia" w:ascii="Times New Roman"/>
          <w:szCs w:val="21"/>
        </w:rPr>
        <w:t>院西部中心（新疆）、</w:t>
      </w:r>
      <w:r>
        <w:rPr>
          <w:rFonts w:ascii="Times New Roman"/>
          <w:szCs w:val="21"/>
        </w:rPr>
        <w:t>中国绿色食品发展</w:t>
      </w:r>
      <w:r>
        <w:rPr>
          <w:rFonts w:hint="eastAsia" w:ascii="Times New Roman"/>
          <w:szCs w:val="21"/>
        </w:rPr>
        <w:t>中心。</w:t>
      </w:r>
    </w:p>
    <w:p>
      <w:pPr>
        <w:pStyle w:val="12"/>
        <w:spacing w:line="360" w:lineRule="auto"/>
        <w:contextualSpacing/>
        <w:rPr>
          <w:sz w:val="28"/>
          <w:szCs w:val="28"/>
        </w:rPr>
        <w:sectPr>
          <w:pgSz w:w="11906" w:h="16838"/>
          <w:pgMar w:top="1440" w:right="1800" w:bottom="1440" w:left="1800" w:header="851" w:footer="992" w:gutter="0"/>
          <w:cols w:space="425" w:num="1"/>
          <w:docGrid w:type="lines" w:linePitch="312" w:charSpace="0"/>
        </w:sectPr>
      </w:pPr>
      <w:r>
        <w:rPr>
          <w:rFonts w:hint="eastAsia"/>
        </w:rPr>
        <w:t>本规程起草人：孙敏涛、程永安、谢学文、李衍素、王转丽、王君</w:t>
      </w:r>
      <w:bookmarkStart w:id="0" w:name="_GoBack"/>
      <w:bookmarkEnd w:id="0"/>
      <w:r>
        <w:rPr>
          <w:rFonts w:hint="eastAsia"/>
        </w:rPr>
        <w:t>、于贤昌、郝贵宾、</w:t>
      </w:r>
      <w:r>
        <w:t>王多玉</w:t>
      </w:r>
      <w:r>
        <w:rPr>
          <w:rFonts w:hint="eastAsia"/>
        </w:rPr>
        <w:t>、王</w:t>
      </w:r>
      <w:r>
        <w:t>啟梅、</w:t>
      </w:r>
      <w:r>
        <w:rPr>
          <w:rFonts w:hint="eastAsia"/>
        </w:rPr>
        <w:t>田洁、文军琴、白龙强、林玉红、李建设、何文清。</w:t>
      </w:r>
    </w:p>
    <w:p>
      <w:pPr>
        <w:pStyle w:val="12"/>
        <w:spacing w:before="156" w:beforeLines="50" w:after="156" w:afterLines="50" w:line="360" w:lineRule="auto"/>
        <w:ind w:left="357" w:firstLine="0" w:firstLineChars="0"/>
        <w:contextualSpacing/>
        <w:jc w:val="center"/>
        <w:rPr>
          <w:rFonts w:eastAsia="黑体"/>
          <w:sz w:val="32"/>
          <w:szCs w:val="32"/>
        </w:rPr>
      </w:pPr>
    </w:p>
    <w:p>
      <w:pPr>
        <w:pStyle w:val="12"/>
        <w:spacing w:before="156" w:beforeLines="50" w:after="156" w:afterLines="50" w:line="360" w:lineRule="auto"/>
        <w:ind w:left="357" w:firstLine="0" w:firstLineChars="0"/>
        <w:contextualSpacing/>
        <w:jc w:val="center"/>
        <w:rPr>
          <w:rFonts w:eastAsia="黑体"/>
          <w:sz w:val="32"/>
          <w:szCs w:val="32"/>
        </w:rPr>
      </w:pPr>
      <w:r>
        <w:rPr>
          <w:rFonts w:hint="eastAsia" w:eastAsia="黑体"/>
          <w:sz w:val="32"/>
          <w:szCs w:val="32"/>
        </w:rPr>
        <w:t xml:space="preserve">陕甘宁等地区 </w:t>
      </w:r>
      <w:r>
        <w:rPr>
          <w:rFonts w:eastAsia="黑体"/>
          <w:sz w:val="32"/>
          <w:szCs w:val="32"/>
        </w:rPr>
        <w:t>绿色食品南瓜生产操作规程</w:t>
      </w:r>
    </w:p>
    <w:p>
      <w:pPr>
        <w:pStyle w:val="12"/>
        <w:spacing w:before="156" w:beforeLines="50" w:after="156" w:afterLines="50" w:line="400" w:lineRule="atLeast"/>
        <w:ind w:left="357" w:firstLine="0" w:firstLineChars="0"/>
        <w:contextualSpacing/>
        <w:jc w:val="center"/>
        <w:rPr>
          <w:rFonts w:eastAsiaTheme="minorEastAsia"/>
          <w:sz w:val="28"/>
          <w:szCs w:val="28"/>
        </w:rPr>
      </w:pPr>
    </w:p>
    <w:p>
      <w:pPr>
        <w:pStyle w:val="12"/>
        <w:spacing w:line="360" w:lineRule="auto"/>
        <w:ind w:firstLine="0" w:firstLineChars="0"/>
        <w:contextualSpacing/>
        <w:rPr>
          <w:rFonts w:eastAsia="黑体"/>
        </w:rPr>
      </w:pPr>
      <w:r>
        <w:rPr>
          <w:rFonts w:eastAsia="黑体"/>
        </w:rPr>
        <w:t>1 范围</w:t>
      </w:r>
    </w:p>
    <w:p>
      <w:pPr>
        <w:pStyle w:val="12"/>
        <w:spacing w:line="360" w:lineRule="auto"/>
        <w:contextualSpacing/>
      </w:pPr>
      <w:r>
        <w:t>本规程规定了</w:t>
      </w:r>
      <w:r>
        <w:rPr>
          <w:rFonts w:hint="eastAsia"/>
        </w:rPr>
        <w:t>陕甘宁等地区</w:t>
      </w:r>
      <w:r>
        <w:t>绿色食品南瓜</w:t>
      </w:r>
      <w:r>
        <w:rPr>
          <w:rFonts w:hint="eastAsia"/>
        </w:rPr>
        <w:t>的</w:t>
      </w:r>
      <w:r>
        <w:t>产地环境、生产技术、病虫害防治、采收与包装、生产废弃物的处理、储藏运输和生产档案管理。</w:t>
      </w:r>
    </w:p>
    <w:p>
      <w:pPr>
        <w:pStyle w:val="12"/>
        <w:spacing w:line="360" w:lineRule="auto"/>
        <w:contextualSpacing/>
      </w:pPr>
      <w:r>
        <w:t>本规程适用于山西、内蒙古西部、陕西、甘肃、青海、宁夏、新疆</w:t>
      </w:r>
      <w:r>
        <w:rPr>
          <w:rFonts w:hint="eastAsia"/>
        </w:rPr>
        <w:t>的</w:t>
      </w:r>
      <w:r>
        <w:t>绿色食品南瓜的生产。</w:t>
      </w:r>
    </w:p>
    <w:p>
      <w:pPr>
        <w:pStyle w:val="12"/>
        <w:spacing w:line="360" w:lineRule="auto"/>
        <w:ind w:firstLine="0" w:firstLineChars="0"/>
        <w:contextualSpacing/>
        <w:rPr>
          <w:rFonts w:eastAsia="黑体"/>
        </w:rPr>
      </w:pPr>
      <w:r>
        <w:rPr>
          <w:rFonts w:eastAsia="黑体"/>
        </w:rPr>
        <w:t>2 规范性引用文件</w:t>
      </w:r>
    </w:p>
    <w:p>
      <w:pPr>
        <w:pStyle w:val="12"/>
        <w:spacing w:line="360" w:lineRule="auto"/>
        <w:contextualSpacing/>
      </w:pPr>
      <w:r>
        <w:t>下列文件对于本文件的应用是必不可少的。凡是注日期的引用文件，仅所注日期的版本适用于本文件。凡是不注日期的引用文件，其最新版本（包括所有的修改单）适用于本文件。</w:t>
      </w:r>
    </w:p>
    <w:p>
      <w:pPr>
        <w:pStyle w:val="12"/>
        <w:spacing w:line="360" w:lineRule="auto"/>
        <w:contextualSpacing/>
      </w:pPr>
      <w:r>
        <w:t>GB 16715.1  瓜菜作物种子 瓜类</w:t>
      </w:r>
    </w:p>
    <w:p>
      <w:pPr>
        <w:pStyle w:val="12"/>
        <w:spacing w:line="360" w:lineRule="auto"/>
        <w:contextualSpacing/>
      </w:pPr>
      <w:r>
        <w:t>NY/T 391  绿色食品 产地环境质量</w:t>
      </w:r>
    </w:p>
    <w:p>
      <w:pPr>
        <w:pStyle w:val="12"/>
        <w:spacing w:line="360" w:lineRule="auto"/>
        <w:contextualSpacing/>
      </w:pPr>
      <w:r>
        <w:t>NY/T 393  绿色食品 农药使用准则</w:t>
      </w:r>
    </w:p>
    <w:p>
      <w:pPr>
        <w:pStyle w:val="12"/>
        <w:spacing w:line="360" w:lineRule="auto"/>
        <w:contextualSpacing/>
      </w:pPr>
      <w:r>
        <w:t>NY/T 394  绿色食品 肥料使用准则</w:t>
      </w:r>
    </w:p>
    <w:p>
      <w:pPr>
        <w:pStyle w:val="12"/>
        <w:spacing w:line="360" w:lineRule="auto"/>
        <w:contextualSpacing/>
      </w:pPr>
      <w:r>
        <w:t>NY/T 658  绿色食品 包装通用准则</w:t>
      </w:r>
    </w:p>
    <w:p>
      <w:pPr>
        <w:pStyle w:val="12"/>
        <w:spacing w:line="360" w:lineRule="auto"/>
        <w:contextualSpacing/>
      </w:pPr>
      <w:r>
        <w:t>NY/T 747  绿色食品 瓜类蔬菜</w:t>
      </w:r>
    </w:p>
    <w:p>
      <w:pPr>
        <w:pStyle w:val="12"/>
        <w:spacing w:line="360" w:lineRule="auto"/>
        <w:contextualSpacing/>
      </w:pPr>
      <w:r>
        <w:t xml:space="preserve">NY/T 1056  绿色食品 </w:t>
      </w:r>
      <w:r>
        <w:rPr>
          <w:rFonts w:hint="eastAsia"/>
        </w:rPr>
        <w:t>储</w:t>
      </w:r>
      <w:r>
        <w:t>藏运输准则</w:t>
      </w:r>
    </w:p>
    <w:p>
      <w:pPr>
        <w:pStyle w:val="14"/>
        <w:spacing w:line="360" w:lineRule="auto"/>
        <w:rPr>
          <w:rFonts w:ascii="Times New Roman"/>
        </w:rPr>
      </w:pPr>
      <w:r>
        <w:rPr>
          <w:rFonts w:ascii="Times New Roman"/>
        </w:rPr>
        <w:t>NY/T 2118  蔬菜育苗基质</w:t>
      </w:r>
    </w:p>
    <w:p>
      <w:pPr>
        <w:pStyle w:val="12"/>
        <w:spacing w:line="360" w:lineRule="auto"/>
        <w:ind w:firstLine="0" w:firstLineChars="0"/>
        <w:contextualSpacing/>
        <w:rPr>
          <w:rFonts w:eastAsia="黑体"/>
        </w:rPr>
      </w:pPr>
      <w:r>
        <w:t>3</w:t>
      </w:r>
      <w:r>
        <w:rPr>
          <w:rFonts w:eastAsia="黑体"/>
        </w:rPr>
        <w:t xml:space="preserve">  产地环境</w:t>
      </w:r>
    </w:p>
    <w:p>
      <w:pPr>
        <w:pStyle w:val="12"/>
        <w:spacing w:line="360" w:lineRule="auto"/>
        <w:contextualSpacing/>
      </w:pPr>
      <w:r>
        <w:t>应符合NY/T 391的规定。选择地势高燥，排灌方便，土壤疏松肥沃，</w:t>
      </w:r>
      <w:r>
        <w:rPr>
          <w:rFonts w:hint="eastAsia"/>
        </w:rPr>
        <w:t>富含有机质</w:t>
      </w:r>
      <w:r>
        <w:t>，pH值5.5～6.8，耕作层深30 cm以上的壤土或沙壤土，前茬1～2年未种过葫芦科作物的地块。另外，设施栽培中尽可能使用水肥一体化技术。在绿色食品和常规生产区域之间应设有缓冲带或物理屏障。生产基地建设应选择生态环境好、无污染、远离工矿区和公路、铁路干线的地区。</w:t>
      </w:r>
    </w:p>
    <w:p>
      <w:pPr>
        <w:pStyle w:val="12"/>
        <w:spacing w:line="360" w:lineRule="auto"/>
        <w:ind w:firstLine="0" w:firstLineChars="0"/>
        <w:contextualSpacing/>
        <w:rPr>
          <w:rFonts w:eastAsia="黑体"/>
        </w:rPr>
      </w:pPr>
      <w:r>
        <w:rPr>
          <w:rFonts w:eastAsia="黑体"/>
        </w:rPr>
        <w:t xml:space="preserve">4 </w:t>
      </w:r>
      <w:r>
        <w:rPr>
          <w:rFonts w:hint="eastAsia" w:eastAsia="黑体"/>
        </w:rPr>
        <w:t>茬口安排</w:t>
      </w:r>
    </w:p>
    <w:p>
      <w:pPr>
        <w:pStyle w:val="14"/>
        <w:spacing w:line="360" w:lineRule="auto"/>
        <w:rPr>
          <w:rFonts w:ascii="Times New Roman"/>
        </w:rPr>
      </w:pPr>
      <w:r>
        <w:rPr>
          <w:rFonts w:ascii="Times New Roman"/>
        </w:rPr>
        <w:t>南瓜栽培分露地栽培和设施栽培。</w:t>
      </w:r>
      <w:r>
        <w:rPr>
          <w:rFonts w:hint="eastAsia" w:ascii="Times New Roman"/>
        </w:rPr>
        <w:t>露地栽培为一年一茬</w:t>
      </w:r>
      <w:r>
        <w:rPr>
          <w:rFonts w:ascii="Times New Roman"/>
        </w:rPr>
        <w:t>，设施栽培主要分为早春茬和秋茬。</w:t>
      </w:r>
    </w:p>
    <w:p>
      <w:pPr>
        <w:pStyle w:val="12"/>
        <w:spacing w:line="360" w:lineRule="auto"/>
        <w:ind w:firstLineChars="0"/>
        <w:contextualSpacing/>
      </w:pPr>
      <w:r>
        <w:t>露地栽培：直播栽培的播种期为4月上旬～5月中旬，育苗移栽栽培的播期再提前7 d～10 d。</w:t>
      </w:r>
    </w:p>
    <w:p>
      <w:pPr>
        <w:pStyle w:val="12"/>
        <w:spacing w:line="360" w:lineRule="auto"/>
        <w:ind w:firstLineChars="0"/>
        <w:contextualSpacing/>
      </w:pPr>
      <w:r>
        <w:rPr>
          <w:rFonts w:hint="eastAsia"/>
        </w:rPr>
        <w:t>设施早春茬：</w:t>
      </w:r>
      <w:r>
        <w:t xml:space="preserve">在多种保护地设施内均可进行，如日光温室、大中小拱棚等。在1～2月播种，2～3月定植，3月中旬至4月上旬可以开始采收，6月下旬至7月上中旬拉秧。 </w:t>
      </w:r>
    </w:p>
    <w:p>
      <w:pPr>
        <w:pStyle w:val="12"/>
        <w:spacing w:line="360" w:lineRule="auto"/>
        <w:ind w:firstLineChars="0"/>
        <w:contextualSpacing/>
      </w:pPr>
      <w:r>
        <w:rPr>
          <w:rFonts w:hint="eastAsia"/>
        </w:rPr>
        <w:t>设施秋茬：</w:t>
      </w:r>
      <w:r>
        <w:t>在日光温室、大中小拱棚内进行。播种期为7月中旬至8月上旬，收获始期为9月上中旬。11月上中旬大中棚拉秧，12月下旬日光温室拉秧。</w:t>
      </w:r>
    </w:p>
    <w:p>
      <w:pPr>
        <w:pStyle w:val="13"/>
        <w:spacing w:beforeLines="0" w:afterLines="0" w:line="360" w:lineRule="auto"/>
        <w:ind w:left="0" w:firstLine="0"/>
        <w:jc w:val="both"/>
        <w:outlineLvl w:val="9"/>
        <w:rPr>
          <w:rFonts w:ascii="Times New Roman"/>
        </w:rPr>
      </w:pPr>
      <w:r>
        <w:rPr>
          <w:rFonts w:ascii="Times New Roman"/>
        </w:rPr>
        <w:t>5 品种选择</w:t>
      </w:r>
    </w:p>
    <w:p>
      <w:pPr>
        <w:pStyle w:val="12"/>
        <w:spacing w:line="360" w:lineRule="auto"/>
        <w:contextualSpacing/>
      </w:pPr>
      <w:r>
        <w:t>选择适合西北气候条件和市场需求、优质、高产、抗病、抗逆性强、</w:t>
      </w:r>
      <w:r>
        <w:rPr>
          <w:rFonts w:hint="eastAsia"/>
        </w:rPr>
        <w:t>耐储运、</w:t>
      </w:r>
      <w:r>
        <w:t>商品性好的南瓜品种。优先选用在当地引种示范过的品种，新引进品种应先进行小面积试种。种子质量应符合GB16715.1的规定。</w:t>
      </w:r>
    </w:p>
    <w:p>
      <w:pPr>
        <w:pStyle w:val="12"/>
        <w:spacing w:line="360" w:lineRule="auto"/>
        <w:ind w:firstLine="0" w:firstLineChars="0"/>
        <w:contextualSpacing/>
      </w:pPr>
      <w:r>
        <w:rPr>
          <w:rFonts w:eastAsia="黑体"/>
        </w:rPr>
        <w:t>6播期</w:t>
      </w:r>
      <w:r>
        <w:rPr>
          <w:rFonts w:hint="eastAsia" w:eastAsia="黑体"/>
        </w:rPr>
        <w:t>和</w:t>
      </w:r>
      <w:r>
        <w:rPr>
          <w:rFonts w:eastAsia="黑体"/>
        </w:rPr>
        <w:t>播量</w:t>
      </w:r>
    </w:p>
    <w:p>
      <w:pPr>
        <w:pStyle w:val="16"/>
        <w:numPr>
          <w:ilvl w:val="0"/>
          <w:numId w:val="0"/>
        </w:numPr>
        <w:spacing w:before="0" w:beforeLines="0" w:after="0" w:afterLines="0" w:line="360" w:lineRule="auto"/>
        <w:jc w:val="both"/>
        <w:outlineLvl w:val="9"/>
        <w:rPr>
          <w:rFonts w:ascii="Times New Roman"/>
        </w:rPr>
      </w:pPr>
      <w:r>
        <w:rPr>
          <w:rFonts w:ascii="Times New Roman"/>
        </w:rPr>
        <w:t>6.1播种量</w:t>
      </w:r>
    </w:p>
    <w:p>
      <w:pPr>
        <w:pStyle w:val="14"/>
        <w:spacing w:line="360" w:lineRule="auto"/>
        <w:rPr>
          <w:rFonts w:ascii="Times New Roman"/>
        </w:rPr>
      </w:pPr>
      <w:r>
        <w:rPr>
          <w:rFonts w:ascii="Times New Roman"/>
        </w:rPr>
        <w:t>每</w:t>
      </w:r>
      <w:r>
        <w:rPr>
          <w:rFonts w:hint="eastAsia" w:ascii="Times New Roman"/>
        </w:rPr>
        <w:t>亩</w:t>
      </w:r>
      <w:r>
        <w:rPr>
          <w:rFonts w:ascii="Times New Roman"/>
        </w:rPr>
        <w:t>栽培面积育苗用种量200 g～400 g。</w:t>
      </w:r>
      <w:r>
        <w:rPr>
          <w:rFonts w:hint="eastAsia" w:ascii="Times New Roman"/>
        </w:rPr>
        <w:t>露地留苗每亩</w:t>
      </w:r>
      <w:r>
        <w:rPr>
          <w:rFonts w:ascii="Times New Roman"/>
        </w:rPr>
        <w:t>300-500株，设施吊蔓或插架栽培亩留苗1000-1200株</w:t>
      </w:r>
      <w:r>
        <w:rPr>
          <w:rFonts w:hint="eastAsia" w:ascii="Times New Roman"/>
        </w:rPr>
        <w:t>。</w:t>
      </w:r>
    </w:p>
    <w:p>
      <w:pPr>
        <w:pStyle w:val="16"/>
        <w:numPr>
          <w:ilvl w:val="0"/>
          <w:numId w:val="0"/>
        </w:numPr>
        <w:spacing w:before="0" w:beforeLines="0" w:after="0" w:afterLines="0" w:line="360" w:lineRule="auto"/>
        <w:jc w:val="both"/>
        <w:outlineLvl w:val="9"/>
        <w:rPr>
          <w:rFonts w:ascii="Times New Roman"/>
        </w:rPr>
      </w:pPr>
      <w:r>
        <w:rPr>
          <w:rFonts w:ascii="Times New Roman"/>
        </w:rPr>
        <w:t>6.2播种期</w:t>
      </w:r>
    </w:p>
    <w:p>
      <w:pPr>
        <w:pStyle w:val="13"/>
        <w:spacing w:beforeLines="0" w:afterLines="0" w:line="360" w:lineRule="auto"/>
        <w:ind w:left="0" w:firstLine="420" w:firstLineChars="200"/>
        <w:jc w:val="both"/>
        <w:outlineLvl w:val="9"/>
        <w:rPr>
          <w:rFonts w:ascii="Times New Roman" w:eastAsia="宋体"/>
        </w:rPr>
      </w:pPr>
      <w:r>
        <w:rPr>
          <w:rFonts w:ascii="Times New Roman" w:eastAsia="宋体"/>
        </w:rPr>
        <w:t>早春茬为2月中旬～2月下旬；秋茬为7月底～8月中旬；露地一大茬直播为4月上旬～5月中旬，育苗移栽栽培的播期再提前7 d～10 d。</w:t>
      </w:r>
    </w:p>
    <w:p>
      <w:pPr>
        <w:pStyle w:val="16"/>
        <w:numPr>
          <w:ilvl w:val="0"/>
          <w:numId w:val="0"/>
        </w:numPr>
        <w:spacing w:before="0" w:beforeLines="0" w:after="0" w:afterLines="0" w:line="360" w:lineRule="auto"/>
        <w:jc w:val="both"/>
        <w:outlineLvl w:val="9"/>
        <w:rPr>
          <w:rFonts w:ascii="Times New Roman"/>
        </w:rPr>
      </w:pPr>
      <w:r>
        <w:rPr>
          <w:rFonts w:ascii="Times New Roman"/>
        </w:rPr>
        <w:t>7育苗</w:t>
      </w:r>
    </w:p>
    <w:p>
      <w:pPr>
        <w:pStyle w:val="16"/>
        <w:numPr>
          <w:ilvl w:val="0"/>
          <w:numId w:val="0"/>
        </w:numPr>
        <w:spacing w:before="0" w:beforeLines="0" w:after="0" w:afterLines="0" w:line="360" w:lineRule="auto"/>
        <w:jc w:val="both"/>
        <w:outlineLvl w:val="9"/>
        <w:rPr>
          <w:rFonts w:ascii="Times New Roman"/>
        </w:rPr>
      </w:pPr>
      <w:r>
        <w:rPr>
          <w:rFonts w:ascii="Times New Roman"/>
        </w:rPr>
        <w:t>7.1育苗设施</w:t>
      </w:r>
    </w:p>
    <w:p>
      <w:pPr>
        <w:pStyle w:val="14"/>
        <w:spacing w:line="360" w:lineRule="auto"/>
        <w:rPr>
          <w:rFonts w:ascii="Times New Roman"/>
        </w:rPr>
      </w:pPr>
      <w:r>
        <w:rPr>
          <w:rFonts w:ascii="Times New Roman"/>
          <w:szCs w:val="21"/>
        </w:rPr>
        <w:t>早春茬选用温室、塑料大棚或小拱棚等设施，宜配备加温、保温、防虫装置；秋茬口选用大、小棚均可，应配备防虫、遮阳、防雨装置。</w:t>
      </w:r>
    </w:p>
    <w:p>
      <w:pPr>
        <w:pStyle w:val="16"/>
        <w:numPr>
          <w:ilvl w:val="0"/>
          <w:numId w:val="0"/>
        </w:numPr>
        <w:spacing w:before="0" w:beforeLines="0" w:after="0" w:afterLines="0" w:line="360" w:lineRule="auto"/>
        <w:jc w:val="both"/>
        <w:outlineLvl w:val="9"/>
        <w:rPr>
          <w:rFonts w:ascii="Times New Roman"/>
          <w:b/>
        </w:rPr>
      </w:pPr>
      <w:r>
        <w:rPr>
          <w:rFonts w:ascii="Times New Roman"/>
        </w:rPr>
        <w:t>7.2育苗基质</w:t>
      </w:r>
    </w:p>
    <w:p>
      <w:pPr>
        <w:pStyle w:val="14"/>
        <w:spacing w:line="360" w:lineRule="auto"/>
        <w:rPr>
          <w:rFonts w:ascii="Times New Roman"/>
        </w:rPr>
      </w:pPr>
      <w:r>
        <w:rPr>
          <w:rFonts w:ascii="Times New Roman"/>
        </w:rPr>
        <w:t>育苗基质符合 NY/T 2118 的要求。宜选商品育苗基质。</w:t>
      </w:r>
      <w:r>
        <w:rPr>
          <w:rFonts w:hint="eastAsia" w:ascii="Times New Roman"/>
        </w:rPr>
        <w:t>如果自配基质配制比例为草碳与蛭石比例</w:t>
      </w:r>
      <w:r>
        <w:rPr>
          <w:rFonts w:hint="eastAsia" w:ascii="Times New Roman" w:eastAsiaTheme="minorEastAsia"/>
          <w:kern w:val="2"/>
          <w:szCs w:val="22"/>
        </w:rPr>
        <w:t>为</w:t>
      </w:r>
      <w:r>
        <w:rPr>
          <w:rFonts w:ascii="Times New Roman"/>
        </w:rPr>
        <w:t>2</w:t>
      </w:r>
      <w:r>
        <w:rPr>
          <w:rFonts w:ascii="Times New Roman" w:eastAsiaTheme="minorEastAsia"/>
          <w:kern w:val="2"/>
          <w:szCs w:val="22"/>
        </w:rPr>
        <w:t>:</w:t>
      </w:r>
      <w:r>
        <w:rPr>
          <w:rFonts w:ascii="Times New Roman"/>
        </w:rPr>
        <w:t>1</w:t>
      </w:r>
      <w:r>
        <w:rPr>
          <w:rFonts w:hint="eastAsia" w:ascii="Times New Roman" w:eastAsiaTheme="minorEastAsia"/>
          <w:kern w:val="2"/>
          <w:szCs w:val="22"/>
        </w:rPr>
        <w:t>，加</w:t>
      </w:r>
      <w:r>
        <w:rPr>
          <w:rFonts w:hint="eastAsia" w:ascii="Times New Roman"/>
        </w:rPr>
        <w:t>入氮磷钾复合肥</w:t>
      </w:r>
      <w:r>
        <w:rPr>
          <w:rFonts w:ascii="Times New Roman"/>
        </w:rPr>
        <w:t>1 kg/m</w:t>
      </w:r>
      <w:r>
        <w:rPr>
          <w:rFonts w:ascii="Times New Roman"/>
          <w:vertAlign w:val="superscript"/>
        </w:rPr>
        <w:t>3</w:t>
      </w:r>
      <w:r>
        <w:rPr>
          <w:rFonts w:hint="eastAsia" w:ascii="Times New Roman"/>
        </w:rPr>
        <w:t>，拌匀；然后</w:t>
      </w:r>
      <w:r>
        <w:rPr>
          <w:rFonts w:ascii="Times New Roman"/>
        </w:rPr>
        <w:t>自配营养土</w:t>
      </w:r>
      <w:r>
        <w:rPr>
          <w:rFonts w:hint="eastAsia" w:ascii="Times New Roman"/>
        </w:rPr>
        <w:t>，</w:t>
      </w:r>
      <w:r>
        <w:rPr>
          <w:rFonts w:ascii="Times New Roman"/>
        </w:rPr>
        <w:t>用非瓜类田园土6份，腐熟农家肥4份，打碎过筛，加入氮磷钾复合肥1 kg/m</w:t>
      </w:r>
      <w:r>
        <w:rPr>
          <w:rFonts w:ascii="Times New Roman"/>
          <w:vertAlign w:val="superscript"/>
        </w:rPr>
        <w:t>3</w:t>
      </w:r>
      <w:r>
        <w:rPr>
          <w:rFonts w:ascii="Times New Roman"/>
        </w:rPr>
        <w:t>，充分混匀。</w:t>
      </w:r>
    </w:p>
    <w:p>
      <w:pPr>
        <w:pStyle w:val="18"/>
        <w:numPr>
          <w:ilvl w:val="0"/>
          <w:numId w:val="0"/>
        </w:numPr>
        <w:spacing w:before="0" w:beforeLines="0" w:after="0" w:afterLines="0" w:line="360" w:lineRule="auto"/>
        <w:jc w:val="both"/>
        <w:outlineLvl w:val="9"/>
        <w:rPr>
          <w:rFonts w:ascii="Times New Roman"/>
        </w:rPr>
      </w:pPr>
      <w:r>
        <w:rPr>
          <w:rFonts w:ascii="Times New Roman"/>
        </w:rPr>
        <w:t>7.3营养钵、穴盘</w:t>
      </w:r>
    </w:p>
    <w:p>
      <w:pPr>
        <w:pStyle w:val="14"/>
        <w:spacing w:line="360" w:lineRule="auto"/>
        <w:rPr>
          <w:rFonts w:ascii="Times New Roman"/>
        </w:rPr>
      </w:pPr>
      <w:r>
        <w:rPr>
          <w:rFonts w:ascii="Times New Roman"/>
        </w:rPr>
        <w:t>营养钵上口直径为7 cm～10 cm，高10 cm的营养钵。穴盘为32孔或50孔。</w:t>
      </w:r>
    </w:p>
    <w:p>
      <w:pPr>
        <w:pStyle w:val="16"/>
        <w:numPr>
          <w:ilvl w:val="0"/>
          <w:numId w:val="0"/>
        </w:numPr>
        <w:spacing w:before="0" w:beforeLines="0" w:after="0" w:afterLines="0" w:line="360" w:lineRule="auto"/>
        <w:jc w:val="both"/>
        <w:outlineLvl w:val="9"/>
        <w:rPr>
          <w:rFonts w:ascii="Times New Roman"/>
        </w:rPr>
      </w:pPr>
      <w:r>
        <w:rPr>
          <w:rFonts w:ascii="Times New Roman"/>
        </w:rPr>
        <w:t>7.4种子处理</w:t>
      </w:r>
    </w:p>
    <w:p>
      <w:pPr>
        <w:pStyle w:val="14"/>
        <w:spacing w:line="360" w:lineRule="auto"/>
        <w:rPr>
          <w:rFonts w:ascii="Times New Roman"/>
        </w:rPr>
      </w:pPr>
      <w:r>
        <w:rPr>
          <w:rFonts w:ascii="Times New Roman"/>
        </w:rPr>
        <w:t>种子放入55 ℃温水中，按种子与水的质量1:5比例浸种，边浸边搅拌至室温后，用清水洗净黏液</w:t>
      </w:r>
      <w:r>
        <w:rPr>
          <w:rFonts w:hint="eastAsia" w:ascii="Times New Roman"/>
        </w:rPr>
        <w:t>；或</w:t>
      </w:r>
      <w:r>
        <w:rPr>
          <w:rFonts w:ascii="Times New Roman"/>
        </w:rPr>
        <w:t>用1 %高锰酸钾溶液浸种20 min～30 min，或用10 %磷酸三钠溶液浸种15 min，用清水洗净。</w:t>
      </w:r>
      <w:r>
        <w:rPr>
          <w:rFonts w:hint="eastAsia" w:ascii="Times New Roman"/>
        </w:rPr>
        <w:t>包衣的种子可直接催芽。</w:t>
      </w:r>
    </w:p>
    <w:p>
      <w:pPr>
        <w:pStyle w:val="16"/>
        <w:numPr>
          <w:ilvl w:val="0"/>
          <w:numId w:val="0"/>
        </w:numPr>
        <w:spacing w:before="0" w:beforeLines="0" w:after="0" w:afterLines="0" w:line="360" w:lineRule="auto"/>
        <w:jc w:val="both"/>
        <w:outlineLvl w:val="9"/>
        <w:rPr>
          <w:rFonts w:ascii="Times New Roman"/>
        </w:rPr>
      </w:pPr>
      <w:r>
        <w:rPr>
          <w:rFonts w:ascii="Times New Roman"/>
        </w:rPr>
        <w:t xml:space="preserve">7.5浸种催芽 </w:t>
      </w:r>
    </w:p>
    <w:p>
      <w:pPr>
        <w:pStyle w:val="14"/>
        <w:spacing w:line="360" w:lineRule="auto"/>
        <w:rPr>
          <w:rFonts w:ascii="Times New Roman"/>
        </w:rPr>
      </w:pPr>
      <w:r>
        <w:rPr>
          <w:rFonts w:ascii="Times New Roman"/>
        </w:rPr>
        <w:t>处理后的种子在常温下用水浸泡</w:t>
      </w:r>
      <w:r>
        <w:rPr>
          <w:rFonts w:hint="eastAsia" w:ascii="Times New Roman"/>
        </w:rPr>
        <w:t>4</w:t>
      </w:r>
      <w:r>
        <w:rPr>
          <w:rFonts w:ascii="Times New Roman"/>
        </w:rPr>
        <w:t>-6 h后捞出沥净，放在25 ℃～30 ℃处催芽。注意保湿，每12 h清洗1次。70 %种子</w:t>
      </w:r>
      <w:r>
        <w:rPr>
          <w:rFonts w:hint="eastAsia" w:ascii="Times New Roman"/>
        </w:rPr>
        <w:t>露白后</w:t>
      </w:r>
      <w:r>
        <w:rPr>
          <w:rFonts w:ascii="Times New Roman"/>
        </w:rPr>
        <w:t>即可播种。</w:t>
      </w:r>
    </w:p>
    <w:p>
      <w:pPr>
        <w:pStyle w:val="16"/>
        <w:numPr>
          <w:ilvl w:val="0"/>
          <w:numId w:val="0"/>
        </w:numPr>
        <w:spacing w:before="0" w:beforeLines="0" w:after="0" w:afterLines="0" w:line="360" w:lineRule="auto"/>
        <w:jc w:val="both"/>
        <w:outlineLvl w:val="9"/>
        <w:rPr>
          <w:rFonts w:ascii="Times New Roman"/>
        </w:rPr>
      </w:pPr>
      <w:r>
        <w:rPr>
          <w:rFonts w:ascii="Times New Roman"/>
        </w:rPr>
        <w:t>7.6播种</w:t>
      </w:r>
    </w:p>
    <w:p>
      <w:pPr>
        <w:pStyle w:val="14"/>
        <w:spacing w:line="360" w:lineRule="auto"/>
        <w:rPr>
          <w:rFonts w:ascii="Times New Roman"/>
        </w:rPr>
      </w:pPr>
      <w:r>
        <w:rPr>
          <w:rFonts w:hint="eastAsia" w:ascii="Times New Roman"/>
        </w:rPr>
        <w:t>早春茬育苗需</w:t>
      </w:r>
      <w:r>
        <w:rPr>
          <w:rFonts w:ascii="Times New Roman"/>
        </w:rPr>
        <w:t>20 d</w:t>
      </w:r>
      <w:r>
        <w:rPr>
          <w:rFonts w:hint="eastAsia" w:ascii="Times New Roman"/>
        </w:rPr>
        <w:t>左右，秋茬育苗需</w:t>
      </w:r>
      <w:r>
        <w:rPr>
          <w:rFonts w:ascii="Times New Roman"/>
        </w:rPr>
        <w:t>10 d</w:t>
      </w:r>
      <w:r>
        <w:rPr>
          <w:rFonts w:hint="eastAsia" w:ascii="Times New Roman"/>
        </w:rPr>
        <w:t>～</w:t>
      </w:r>
      <w:r>
        <w:rPr>
          <w:rFonts w:ascii="Times New Roman"/>
        </w:rPr>
        <w:t>15 d</w:t>
      </w:r>
      <w:r>
        <w:rPr>
          <w:rFonts w:hint="eastAsia" w:ascii="Times New Roman"/>
        </w:rPr>
        <w:t>，苗态呈</w:t>
      </w:r>
      <w:r>
        <w:rPr>
          <w:rFonts w:ascii="Times New Roman"/>
        </w:rPr>
        <w:t>“2</w:t>
      </w:r>
      <w:r>
        <w:rPr>
          <w:rFonts w:hint="eastAsia" w:ascii="Times New Roman"/>
        </w:rPr>
        <w:t>叶</w:t>
      </w:r>
      <w:r>
        <w:rPr>
          <w:rFonts w:ascii="Times New Roman"/>
        </w:rPr>
        <w:t>1</w:t>
      </w:r>
      <w:r>
        <w:rPr>
          <w:rFonts w:hint="eastAsia" w:ascii="Times New Roman"/>
        </w:rPr>
        <w:t>心</w:t>
      </w:r>
      <w:r>
        <w:rPr>
          <w:rFonts w:ascii="Times New Roman"/>
        </w:rPr>
        <w:t>”</w:t>
      </w:r>
      <w:r>
        <w:rPr>
          <w:rFonts w:hint="eastAsia" w:ascii="Times New Roman"/>
        </w:rPr>
        <w:t>状；早春茬晴天中午播种，秋茬下午播种。播种前灌透水，水下渗后，每穴播</w:t>
      </w:r>
      <w:r>
        <w:rPr>
          <w:rFonts w:ascii="Times New Roman"/>
        </w:rPr>
        <w:t>1</w:t>
      </w:r>
      <w:r>
        <w:rPr>
          <w:rFonts w:hint="eastAsia" w:ascii="Times New Roman"/>
        </w:rPr>
        <w:t>粒，种子平放，均匀覆土</w:t>
      </w:r>
      <w:r>
        <w:rPr>
          <w:rFonts w:ascii="Times New Roman"/>
        </w:rPr>
        <w:t>1.5 cm</w:t>
      </w:r>
      <w:r>
        <w:rPr>
          <w:rFonts w:hint="eastAsia" w:ascii="Times New Roman"/>
        </w:rPr>
        <w:t>～</w:t>
      </w:r>
      <w:r>
        <w:rPr>
          <w:rFonts w:ascii="Times New Roman"/>
        </w:rPr>
        <w:t>2.0 cm</w:t>
      </w:r>
      <w:r>
        <w:rPr>
          <w:rFonts w:hint="eastAsia" w:ascii="Times New Roman"/>
        </w:rPr>
        <w:t>。早春茬播后覆盖地膜，秋茬床面覆盖遮阳网或稻草，幼苗顶土时去除床面覆盖物。</w:t>
      </w:r>
    </w:p>
    <w:p>
      <w:pPr>
        <w:pStyle w:val="16"/>
        <w:numPr>
          <w:ilvl w:val="0"/>
          <w:numId w:val="0"/>
        </w:numPr>
        <w:spacing w:before="0" w:beforeLines="0" w:after="0" w:afterLines="0" w:line="360" w:lineRule="auto"/>
        <w:jc w:val="both"/>
        <w:outlineLvl w:val="9"/>
        <w:rPr>
          <w:rFonts w:ascii="Times New Roman"/>
        </w:rPr>
      </w:pPr>
      <w:r>
        <w:rPr>
          <w:rFonts w:ascii="Times New Roman"/>
        </w:rPr>
        <w:t>7.7苗床温度管理</w:t>
      </w:r>
    </w:p>
    <w:p>
      <w:pPr>
        <w:pStyle w:val="14"/>
        <w:spacing w:line="360" w:lineRule="auto"/>
        <w:rPr>
          <w:rFonts w:ascii="Times New Roman"/>
        </w:rPr>
      </w:pPr>
      <w:r>
        <w:rPr>
          <w:rFonts w:hint="eastAsia" w:ascii="Times New Roman"/>
        </w:rPr>
        <w:t>春季</w:t>
      </w:r>
      <w:r>
        <w:rPr>
          <w:rFonts w:ascii="Times New Roman"/>
        </w:rPr>
        <w:t>播种到子叶出土，白天温度25 ℃～30 ℃，夜间18 ℃～20 ℃；子叶出土到第一片真叶出现，白天温度20 ℃～25 ℃，夜间10 ℃～15 ℃；定植前7 d～10 d，白天温度18 ℃～25 ℃，夜间10 ℃左右，进行炼苗。</w:t>
      </w:r>
      <w:r>
        <w:rPr>
          <w:rFonts w:hint="eastAsia" w:ascii="Times New Roman"/>
        </w:rPr>
        <w:t>秋季育苗以遮阳降温为主。</w:t>
      </w:r>
    </w:p>
    <w:p>
      <w:pPr>
        <w:pStyle w:val="13"/>
        <w:spacing w:beforeLines="0" w:afterLines="0" w:line="360" w:lineRule="auto"/>
        <w:ind w:left="0" w:firstLine="0"/>
        <w:jc w:val="both"/>
        <w:outlineLvl w:val="9"/>
        <w:rPr>
          <w:rFonts w:ascii="Times New Roman"/>
        </w:rPr>
      </w:pPr>
      <w:r>
        <w:rPr>
          <w:rFonts w:ascii="Times New Roman"/>
        </w:rPr>
        <w:t xml:space="preserve">8 </w:t>
      </w:r>
      <w:r>
        <w:rPr>
          <w:rFonts w:hint="eastAsia" w:ascii="Times New Roman"/>
        </w:rPr>
        <w:t>定植</w:t>
      </w:r>
    </w:p>
    <w:p>
      <w:pPr>
        <w:pStyle w:val="13"/>
        <w:spacing w:beforeLines="0" w:afterLines="0" w:line="360" w:lineRule="auto"/>
        <w:ind w:left="0" w:firstLine="0"/>
        <w:jc w:val="both"/>
        <w:outlineLvl w:val="9"/>
        <w:rPr>
          <w:rFonts w:ascii="Times New Roman"/>
        </w:rPr>
      </w:pPr>
      <w:r>
        <w:rPr>
          <w:rFonts w:ascii="Times New Roman"/>
        </w:rPr>
        <w:t>8.1整地</w:t>
      </w:r>
    </w:p>
    <w:p>
      <w:pPr>
        <w:pStyle w:val="12"/>
        <w:spacing w:line="360" w:lineRule="auto"/>
        <w:contextualSpacing/>
      </w:pPr>
      <w:r>
        <w:rPr>
          <w:kern w:val="0"/>
          <w:szCs w:val="20"/>
        </w:rPr>
        <w:t>选择前茬为非瓜类作物的温室或大棚，要求土壤肥沃、保肥、保水、排灌方便。</w:t>
      </w:r>
      <w:r>
        <w:t>前茬作物生产结束后，清除残株落叶杂草等，深翻20 cm～25 cm。施肥以后再耕一遍，耧平耙细。做平畦或起垄。</w:t>
      </w:r>
    </w:p>
    <w:p>
      <w:pPr>
        <w:pStyle w:val="16"/>
        <w:numPr>
          <w:ilvl w:val="0"/>
          <w:numId w:val="0"/>
        </w:numPr>
        <w:spacing w:before="0" w:beforeLines="0" w:after="0" w:afterLines="0" w:line="360" w:lineRule="auto"/>
        <w:jc w:val="both"/>
        <w:outlineLvl w:val="9"/>
        <w:rPr>
          <w:rFonts w:ascii="Times New Roman"/>
        </w:rPr>
      </w:pPr>
      <w:r>
        <w:rPr>
          <w:rFonts w:ascii="Times New Roman"/>
        </w:rPr>
        <w:t>8.2施基肥</w:t>
      </w:r>
    </w:p>
    <w:p>
      <w:pPr>
        <w:pStyle w:val="14"/>
        <w:spacing w:line="360" w:lineRule="auto"/>
        <w:rPr>
          <w:rFonts w:ascii="Times New Roman"/>
        </w:rPr>
      </w:pPr>
      <w:r>
        <w:rPr>
          <w:rFonts w:ascii="Times New Roman"/>
        </w:rPr>
        <w:t>施肥应符合NY/T 394的规定。每亩用量根据土壤的肥沃程度和有机肥类型确定。整地前浇透水。当土壤适耕时每667 m</w:t>
      </w:r>
      <w:r>
        <w:rPr>
          <w:rFonts w:ascii="Times New Roman"/>
          <w:szCs w:val="21"/>
          <w:vertAlign w:val="superscript"/>
        </w:rPr>
        <w:t>2</w:t>
      </w:r>
      <w:r>
        <w:rPr>
          <w:rFonts w:ascii="Times New Roman"/>
          <w:szCs w:val="21"/>
        </w:rPr>
        <w:t>撒施优质农家肥（有机质含量9%以上）1500 kg，养分含量不足时可补充化肥</w:t>
      </w:r>
      <w:r>
        <w:rPr>
          <w:rFonts w:hint="eastAsia" w:ascii="Times New Roman"/>
          <w:szCs w:val="21"/>
        </w:rPr>
        <w:t>，</w:t>
      </w:r>
      <w:r>
        <w:rPr>
          <w:rFonts w:ascii="Times New Roman"/>
        </w:rPr>
        <w:t>或施蔬菜、瓜果专用配方肥80 kg～100 kg</w:t>
      </w:r>
      <w:r>
        <w:rPr>
          <w:rFonts w:hint="eastAsia" w:ascii="Times New Roman"/>
          <w:szCs w:val="21"/>
        </w:rPr>
        <w:t>，腐熟农家肥</w:t>
      </w:r>
      <w:r>
        <w:rPr>
          <w:rFonts w:ascii="Times New Roman"/>
          <w:szCs w:val="21"/>
        </w:rPr>
        <w:t xml:space="preserve">1500 </w:t>
      </w:r>
      <w:r>
        <w:rPr>
          <w:rFonts w:hint="eastAsia" w:ascii="Times New Roman"/>
          <w:szCs w:val="21"/>
        </w:rPr>
        <w:t>kg</w:t>
      </w:r>
      <w:r>
        <w:t>～</w:t>
      </w:r>
      <w:r>
        <w:rPr>
          <w:rFonts w:ascii="Times New Roman"/>
          <w:szCs w:val="21"/>
        </w:rPr>
        <w:t>2000 kg</w:t>
      </w:r>
      <w:r>
        <w:rPr>
          <w:rFonts w:hint="eastAsia" w:ascii="Times New Roman"/>
          <w:szCs w:val="21"/>
        </w:rPr>
        <w:t>。</w:t>
      </w:r>
    </w:p>
    <w:p>
      <w:pPr>
        <w:pStyle w:val="16"/>
        <w:numPr>
          <w:ilvl w:val="0"/>
          <w:numId w:val="0"/>
        </w:numPr>
        <w:spacing w:before="0" w:beforeLines="0" w:after="0" w:afterLines="0" w:line="360" w:lineRule="auto"/>
        <w:jc w:val="both"/>
        <w:outlineLvl w:val="9"/>
        <w:rPr>
          <w:rFonts w:ascii="Times New Roman"/>
        </w:rPr>
      </w:pPr>
      <w:r>
        <w:rPr>
          <w:rFonts w:ascii="Times New Roman"/>
        </w:rPr>
        <w:t>8.3 棚室消毒</w:t>
      </w:r>
    </w:p>
    <w:p>
      <w:pPr>
        <w:spacing w:line="360" w:lineRule="auto"/>
        <w:ind w:firstLine="420" w:firstLineChars="200"/>
        <w:rPr>
          <w:rFonts w:ascii="Times New Roman" w:hAnsi="Times New Roman" w:eastAsia="宋体" w:cs="Times New Roman"/>
          <w:kern w:val="0"/>
          <w:szCs w:val="20"/>
        </w:rPr>
      </w:pPr>
      <w:r>
        <w:rPr>
          <w:rFonts w:hint="eastAsia" w:ascii="Times New Roman" w:hAnsi="Times New Roman" w:eastAsia="宋体" w:cs="Times New Roman"/>
          <w:kern w:val="0"/>
          <w:szCs w:val="20"/>
        </w:rPr>
        <w:t>设施栽培的早春茬采用药剂消毒。一般采用硫磺熏蒸法，</w:t>
      </w:r>
      <w:r>
        <w:rPr>
          <w:rFonts w:ascii="Times New Roman" w:hAnsi="Times New Roman" w:eastAsia="宋体" w:cs="Times New Roman"/>
          <w:kern w:val="0"/>
          <w:szCs w:val="20"/>
        </w:rPr>
        <w:t>选晴天进行, 每立方米</w:t>
      </w:r>
      <w:r>
        <w:rPr>
          <w:rFonts w:hint="eastAsia" w:ascii="Times New Roman" w:hAnsi="Times New Roman" w:eastAsia="宋体" w:cs="Times New Roman"/>
          <w:kern w:val="0"/>
          <w:szCs w:val="20"/>
        </w:rPr>
        <w:t>的空间使</w:t>
      </w:r>
      <w:r>
        <w:rPr>
          <w:rFonts w:ascii="Times New Roman" w:hAnsi="Times New Roman" w:eastAsia="宋体" w:cs="Times New Roman"/>
          <w:kern w:val="0"/>
          <w:szCs w:val="20"/>
        </w:rPr>
        <w:t>用硫磺4 g</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 xml:space="preserve"> 锯末8 g</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 xml:space="preserve"> 晚上7</w:t>
      </w:r>
      <w:r>
        <w:rPr>
          <w:rFonts w:hint="eastAsia" w:ascii="Times New Roman" w:hAnsi="Times New Roman" w:eastAsia="宋体" w:cs="Times New Roman"/>
          <w:kern w:val="0"/>
          <w:szCs w:val="20"/>
        </w:rPr>
        <w:t>-8</w:t>
      </w:r>
      <w:r>
        <w:rPr>
          <w:rFonts w:ascii="Times New Roman" w:hAnsi="Times New Roman" w:eastAsia="宋体" w:cs="Times New Roman"/>
          <w:kern w:val="0"/>
          <w:szCs w:val="20"/>
        </w:rPr>
        <w:t xml:space="preserve">时, 每隔2 </w:t>
      </w:r>
      <w:r>
        <w:rPr>
          <w:rFonts w:hint="eastAsia" w:ascii="Times New Roman" w:hAnsi="Times New Roman" w:eastAsia="宋体" w:cs="Times New Roman"/>
          <w:kern w:val="0"/>
          <w:szCs w:val="20"/>
        </w:rPr>
        <w:t>-3</w:t>
      </w:r>
      <w:r>
        <w:rPr>
          <w:rFonts w:ascii="Times New Roman" w:hAnsi="Times New Roman" w:eastAsia="宋体" w:cs="Times New Roman"/>
          <w:kern w:val="0"/>
          <w:szCs w:val="20"/>
        </w:rPr>
        <w:t xml:space="preserve"> m距离堆放锯末, 摊平后撒一层硫磺粉, 倒入少量酒精, 逐个点燃</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 xml:space="preserve"> 24 h后放风排烟。</w:t>
      </w:r>
      <w:r>
        <w:rPr>
          <w:rFonts w:hint="eastAsia" w:ascii="Times New Roman" w:hAnsi="Times New Roman" w:eastAsia="宋体" w:cs="Times New Roman"/>
          <w:kern w:val="0"/>
          <w:szCs w:val="20"/>
        </w:rPr>
        <w:t>消毒后通风至无味时定植。设施栽培的秋茬采用高温闷棚消毒。</w:t>
      </w:r>
    </w:p>
    <w:p>
      <w:pPr>
        <w:pStyle w:val="13"/>
        <w:spacing w:beforeLines="0" w:afterLines="0" w:line="360" w:lineRule="auto"/>
        <w:ind w:left="0" w:firstLine="0"/>
        <w:jc w:val="both"/>
        <w:outlineLvl w:val="9"/>
        <w:rPr>
          <w:rFonts w:ascii="Times New Roman"/>
        </w:rPr>
      </w:pPr>
      <w:r>
        <w:rPr>
          <w:rFonts w:ascii="Times New Roman"/>
        </w:rPr>
        <w:t>8.4 定植</w:t>
      </w:r>
      <w:r>
        <w:rPr>
          <w:rFonts w:hint="eastAsia" w:ascii="Times New Roman"/>
        </w:rPr>
        <w:t>幼苗</w:t>
      </w:r>
    </w:p>
    <w:p>
      <w:pPr>
        <w:spacing w:line="360" w:lineRule="auto"/>
        <w:ind w:firstLine="420" w:firstLineChars="200"/>
        <w:rPr>
          <w:rFonts w:ascii="Times New Roman" w:eastAsia="宋体"/>
          <w:szCs w:val="20"/>
        </w:rPr>
      </w:pPr>
      <w:r>
        <w:rPr>
          <w:rFonts w:hint="eastAsia" w:ascii="Times New Roman" w:hAnsi="Times New Roman" w:eastAsia="宋体" w:cs="Times New Roman"/>
          <w:kern w:val="0"/>
          <w:szCs w:val="20"/>
        </w:rPr>
        <w:t>早春茬在</w:t>
      </w:r>
      <w:r>
        <w:rPr>
          <w:rFonts w:ascii="Times New Roman" w:hAnsi="Times New Roman" w:eastAsia="宋体" w:cs="Times New Roman"/>
          <w:kern w:val="0"/>
          <w:szCs w:val="20"/>
        </w:rPr>
        <w:t>3</w:t>
      </w:r>
      <w:r>
        <w:rPr>
          <w:rFonts w:hint="eastAsia" w:ascii="Times New Roman" w:hAnsi="Times New Roman" w:eastAsia="宋体" w:cs="Times New Roman"/>
          <w:kern w:val="0"/>
          <w:szCs w:val="20"/>
        </w:rPr>
        <w:t>月上旬～</w:t>
      </w:r>
      <w:r>
        <w:rPr>
          <w:rFonts w:ascii="Times New Roman" w:hAnsi="Times New Roman" w:eastAsia="宋体" w:cs="Times New Roman"/>
          <w:kern w:val="0"/>
          <w:szCs w:val="20"/>
        </w:rPr>
        <w:t>4</w:t>
      </w:r>
      <w:r>
        <w:rPr>
          <w:rFonts w:hint="eastAsia" w:ascii="Times New Roman" w:hAnsi="Times New Roman" w:eastAsia="宋体" w:cs="Times New Roman"/>
          <w:kern w:val="0"/>
          <w:szCs w:val="20"/>
        </w:rPr>
        <w:t>月中旬，</w:t>
      </w:r>
      <w:r>
        <w:rPr>
          <w:rFonts w:ascii="Times New Roman" w:hAnsi="Times New Roman" w:eastAsia="宋体" w:cs="Times New Roman"/>
          <w:kern w:val="0"/>
          <w:szCs w:val="20"/>
        </w:rPr>
        <w:t>10 cm</w:t>
      </w:r>
      <w:r>
        <w:rPr>
          <w:rFonts w:hint="eastAsia" w:ascii="Times New Roman" w:hAnsi="Times New Roman" w:eastAsia="宋体" w:cs="Times New Roman"/>
          <w:kern w:val="0"/>
          <w:szCs w:val="20"/>
        </w:rPr>
        <w:t>处土壤最低温度稳定在</w:t>
      </w:r>
      <w:r>
        <w:rPr>
          <w:rFonts w:ascii="Times New Roman" w:hAnsi="Times New Roman" w:eastAsia="宋体" w:cs="Times New Roman"/>
          <w:kern w:val="0"/>
          <w:szCs w:val="20"/>
        </w:rPr>
        <w:t xml:space="preserve">12 </w:t>
      </w:r>
      <w:r>
        <w:rPr>
          <w:rFonts w:hint="eastAsia" w:ascii="Times New Roman" w:hAnsi="Times New Roman" w:eastAsia="宋体" w:cs="Times New Roman"/>
          <w:kern w:val="0"/>
          <w:szCs w:val="20"/>
        </w:rPr>
        <w:t>℃以上时定植；秋茬在</w:t>
      </w:r>
      <w:r>
        <w:rPr>
          <w:rFonts w:ascii="Times New Roman" w:hAnsi="Times New Roman" w:eastAsia="宋体" w:cs="Times New Roman"/>
          <w:kern w:val="0"/>
          <w:szCs w:val="20"/>
        </w:rPr>
        <w:t>8</w:t>
      </w:r>
      <w:r>
        <w:rPr>
          <w:rFonts w:hint="eastAsia" w:ascii="Times New Roman" w:hAnsi="Times New Roman" w:eastAsia="宋体" w:cs="Times New Roman"/>
          <w:kern w:val="0"/>
          <w:szCs w:val="20"/>
        </w:rPr>
        <w:t>月上中旬定植。露地栽培每</w:t>
      </w:r>
      <w:r>
        <w:rPr>
          <w:rFonts w:ascii="Times New Roman" w:hAnsi="Times New Roman" w:eastAsia="宋体" w:cs="Times New Roman"/>
          <w:kern w:val="0"/>
          <w:szCs w:val="20"/>
        </w:rPr>
        <w:t>667 m</w:t>
      </w:r>
      <w:r>
        <w:rPr>
          <w:rFonts w:ascii="Times New Roman" w:hAnsi="Times New Roman" w:eastAsia="宋体" w:cs="Times New Roman"/>
          <w:kern w:val="0"/>
          <w:szCs w:val="20"/>
          <w:vertAlign w:val="superscript"/>
        </w:rPr>
        <w:t>2</w:t>
      </w:r>
      <w:r>
        <w:rPr>
          <w:rFonts w:hint="eastAsia" w:ascii="Times New Roman" w:hAnsi="Times New Roman" w:eastAsia="宋体" w:cs="Times New Roman"/>
          <w:kern w:val="0"/>
          <w:szCs w:val="20"/>
        </w:rPr>
        <w:t>栽苗</w:t>
      </w:r>
      <w:r>
        <w:rPr>
          <w:rFonts w:ascii="Times New Roman" w:hAnsi="Times New Roman" w:eastAsia="宋体" w:cs="Times New Roman"/>
          <w:kern w:val="0"/>
          <w:szCs w:val="20"/>
        </w:rPr>
        <w:t>300</w:t>
      </w:r>
      <w:r>
        <w:rPr>
          <w:rFonts w:hint="eastAsia" w:ascii="Times New Roman" w:hAnsi="Times New Roman" w:eastAsia="宋体" w:cs="Times New Roman"/>
          <w:kern w:val="0"/>
          <w:szCs w:val="20"/>
        </w:rPr>
        <w:t>株～</w:t>
      </w:r>
      <w:r>
        <w:rPr>
          <w:rFonts w:ascii="Times New Roman" w:hAnsi="Times New Roman" w:eastAsia="宋体" w:cs="Times New Roman"/>
          <w:kern w:val="0"/>
          <w:szCs w:val="20"/>
        </w:rPr>
        <w:t>500</w:t>
      </w:r>
      <w:r>
        <w:rPr>
          <w:rFonts w:hint="eastAsia" w:ascii="Times New Roman" w:hAnsi="Times New Roman" w:eastAsia="宋体" w:cs="Times New Roman"/>
          <w:kern w:val="0"/>
          <w:szCs w:val="20"/>
        </w:rPr>
        <w:t>株，</w:t>
      </w:r>
      <w:r>
        <w:rPr>
          <w:rFonts w:ascii="Times New Roman" w:hAnsi="Times New Roman" w:eastAsia="宋体" w:cs="Times New Roman"/>
          <w:kern w:val="0"/>
          <w:szCs w:val="20"/>
        </w:rPr>
        <w:t xml:space="preserve"> </w:t>
      </w:r>
      <w:r>
        <w:rPr>
          <w:rFonts w:hint="eastAsia" w:ascii="Times New Roman" w:hAnsi="Times New Roman" w:eastAsia="宋体" w:cs="Times New Roman"/>
          <w:kern w:val="0"/>
          <w:szCs w:val="20"/>
        </w:rPr>
        <w:t>行距</w:t>
      </w:r>
      <w:r>
        <w:rPr>
          <w:rFonts w:ascii="Times New Roman" w:hAnsi="Times New Roman" w:eastAsia="宋体" w:cs="Times New Roman"/>
          <w:kern w:val="0"/>
          <w:szCs w:val="20"/>
        </w:rPr>
        <w:t>250cm</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350 cm</w:t>
      </w:r>
      <w:r>
        <w:rPr>
          <w:rFonts w:hint="eastAsia" w:ascii="Times New Roman" w:hAnsi="Times New Roman" w:eastAsia="宋体" w:cs="Times New Roman"/>
          <w:kern w:val="0"/>
          <w:szCs w:val="20"/>
        </w:rPr>
        <w:t>；设施吊蔓栽培</w:t>
      </w:r>
      <w:r>
        <w:rPr>
          <w:rFonts w:ascii="Times New Roman" w:hAnsi="Times New Roman" w:eastAsia="宋体" w:cs="Times New Roman"/>
          <w:kern w:val="0"/>
          <w:szCs w:val="20"/>
        </w:rPr>
        <w:t>1000</w:t>
      </w:r>
      <w:r>
        <w:rPr>
          <w:rFonts w:hint="eastAsia" w:ascii="Times New Roman" w:hAnsi="Times New Roman" w:eastAsia="宋体" w:cs="Times New Roman"/>
          <w:kern w:val="0"/>
          <w:szCs w:val="20"/>
        </w:rPr>
        <w:t>株～</w:t>
      </w:r>
      <w:r>
        <w:rPr>
          <w:rFonts w:ascii="Times New Roman" w:hAnsi="Times New Roman" w:eastAsia="宋体" w:cs="Times New Roman"/>
          <w:kern w:val="0"/>
          <w:szCs w:val="20"/>
        </w:rPr>
        <w:t xml:space="preserve">1200 </w:t>
      </w:r>
      <w:r>
        <w:rPr>
          <w:rFonts w:hint="eastAsia" w:ascii="Times New Roman" w:hAnsi="Times New Roman" w:eastAsia="宋体" w:cs="Times New Roman"/>
          <w:kern w:val="0"/>
          <w:szCs w:val="20"/>
        </w:rPr>
        <w:t>株，行距</w:t>
      </w:r>
      <w:r>
        <w:rPr>
          <w:rFonts w:ascii="Times New Roman" w:hAnsi="Times New Roman" w:eastAsia="宋体" w:cs="Times New Roman"/>
          <w:kern w:val="0"/>
          <w:szCs w:val="20"/>
        </w:rPr>
        <w:t>60 cm</w:t>
      </w:r>
      <w:r>
        <w:rPr>
          <w:rFonts w:hint="eastAsia" w:ascii="Times New Roman" w:hAnsi="Times New Roman" w:eastAsia="宋体" w:cs="Times New Roman"/>
          <w:kern w:val="0"/>
          <w:szCs w:val="20"/>
        </w:rPr>
        <w:t>～</w:t>
      </w:r>
      <w:r>
        <w:rPr>
          <w:rFonts w:ascii="Times New Roman" w:hAnsi="Times New Roman" w:eastAsia="宋体" w:cs="Times New Roman"/>
          <w:kern w:val="0"/>
          <w:szCs w:val="20"/>
        </w:rPr>
        <w:t>150 cm</w:t>
      </w:r>
      <w:r>
        <w:rPr>
          <w:rFonts w:hint="eastAsia" w:ascii="Times New Roman" w:hAnsi="Times New Roman" w:eastAsia="宋体" w:cs="Times New Roman"/>
          <w:kern w:val="0"/>
          <w:szCs w:val="20"/>
        </w:rPr>
        <w:t>，株距</w:t>
      </w:r>
      <w:r>
        <w:rPr>
          <w:rFonts w:ascii="Times New Roman" w:hAnsi="Times New Roman" w:eastAsia="宋体" w:cs="Times New Roman"/>
          <w:kern w:val="0"/>
          <w:szCs w:val="20"/>
        </w:rPr>
        <w:t>50 cm</w:t>
      </w:r>
      <w:r>
        <w:rPr>
          <w:rFonts w:hint="eastAsia" w:ascii="Times New Roman" w:hAnsi="Times New Roman" w:eastAsia="宋体" w:cs="Times New Roman"/>
          <w:kern w:val="0"/>
          <w:szCs w:val="20"/>
        </w:rPr>
        <w:t>（单蔓整枝）、</w:t>
      </w:r>
      <w:r>
        <w:rPr>
          <w:rFonts w:ascii="Times New Roman" w:hAnsi="Times New Roman" w:eastAsia="宋体" w:cs="Times New Roman"/>
          <w:kern w:val="0"/>
          <w:szCs w:val="20"/>
        </w:rPr>
        <w:t>90 cm</w:t>
      </w:r>
      <w:r>
        <w:rPr>
          <w:rFonts w:hint="eastAsia" w:ascii="Times New Roman" w:hAnsi="Times New Roman" w:eastAsia="宋体" w:cs="Times New Roman"/>
          <w:kern w:val="0"/>
          <w:szCs w:val="20"/>
        </w:rPr>
        <w:t>（双蔓整枝）。早春茬栽培采用暗水定植，小行垄上覆盖地膜。秋茬栽培采明水定植。</w:t>
      </w:r>
    </w:p>
    <w:p>
      <w:pPr>
        <w:pStyle w:val="13"/>
        <w:spacing w:beforeLines="0" w:afterLines="0" w:line="360" w:lineRule="auto"/>
        <w:ind w:left="0" w:firstLine="0"/>
        <w:jc w:val="both"/>
        <w:outlineLvl w:val="9"/>
        <w:rPr>
          <w:rFonts w:ascii="Times New Roman"/>
        </w:rPr>
      </w:pPr>
      <w:r>
        <w:rPr>
          <w:rFonts w:ascii="Times New Roman"/>
        </w:rPr>
        <w:t xml:space="preserve">9 </w:t>
      </w:r>
      <w:r>
        <w:rPr>
          <w:rFonts w:hint="eastAsia" w:ascii="Times New Roman"/>
        </w:rPr>
        <w:t>田间管理</w:t>
      </w:r>
    </w:p>
    <w:p>
      <w:pPr>
        <w:pStyle w:val="16"/>
        <w:numPr>
          <w:ilvl w:val="0"/>
          <w:numId w:val="0"/>
        </w:numPr>
        <w:spacing w:before="0" w:beforeLines="0" w:after="0" w:afterLines="0" w:line="360" w:lineRule="auto"/>
        <w:jc w:val="both"/>
        <w:outlineLvl w:val="9"/>
        <w:rPr>
          <w:rFonts w:ascii="Times New Roman"/>
        </w:rPr>
      </w:pPr>
      <w:r>
        <w:rPr>
          <w:rFonts w:ascii="Times New Roman"/>
        </w:rPr>
        <w:t>9.1温度管理</w:t>
      </w:r>
    </w:p>
    <w:p>
      <w:pPr>
        <w:pStyle w:val="12"/>
        <w:spacing w:line="360" w:lineRule="auto"/>
        <w:contextualSpacing/>
      </w:pPr>
      <w:r>
        <w:t>早春茬定植后前3～4日内保持棚内高温高湿，</w:t>
      </w:r>
      <w:r>
        <w:rPr>
          <w:rFonts w:hint="eastAsia"/>
        </w:rPr>
        <w:t>不超过30℃</w:t>
      </w:r>
      <w:r>
        <w:t>不可放风。温度管理：白天28 ℃～30 ℃，夜间18 ℃～20 ℃；定</w:t>
      </w:r>
      <w:r>
        <w:rPr>
          <w:rFonts w:hint="eastAsia"/>
        </w:rPr>
        <w:t>植</w:t>
      </w:r>
      <w:r>
        <w:t>后4 d～7 d，白天25 ℃～28 ℃，以不超过30 ℃为宜，夜间18 ℃～20 ℃；7d后：白天23℃～28℃，夜温18 ℃～15 ℃。</w:t>
      </w:r>
    </w:p>
    <w:p>
      <w:pPr>
        <w:pStyle w:val="16"/>
        <w:numPr>
          <w:ilvl w:val="0"/>
          <w:numId w:val="0"/>
        </w:numPr>
        <w:spacing w:before="0" w:beforeLines="0" w:after="0" w:afterLines="0" w:line="360" w:lineRule="auto"/>
        <w:jc w:val="both"/>
        <w:outlineLvl w:val="9"/>
        <w:rPr>
          <w:rFonts w:ascii="Times New Roman"/>
        </w:rPr>
      </w:pPr>
      <w:r>
        <w:rPr>
          <w:rFonts w:ascii="Times New Roman"/>
        </w:rPr>
        <w:t>9.2株型调整</w:t>
      </w:r>
    </w:p>
    <w:p>
      <w:pPr>
        <w:pStyle w:val="12"/>
        <w:spacing w:line="360" w:lineRule="auto"/>
        <w:contextualSpacing/>
      </w:pPr>
      <w:r>
        <w:t>单蔓整枝：只留主蔓，及时摘除所有侧蔓。双蔓整枝：在幼苗5片真叶时，摘除生长点，待侧</w:t>
      </w:r>
      <w:r>
        <w:rPr>
          <w:rFonts w:hint="eastAsia"/>
        </w:rPr>
        <w:t>枝</w:t>
      </w:r>
      <w:r>
        <w:t>长出后，留2个健壮侧</w:t>
      </w:r>
      <w:r>
        <w:rPr>
          <w:rFonts w:hint="eastAsia"/>
        </w:rPr>
        <w:t>枝</w:t>
      </w:r>
      <w:r>
        <w:t>。</w:t>
      </w:r>
    </w:p>
    <w:p>
      <w:pPr>
        <w:pStyle w:val="16"/>
        <w:numPr>
          <w:ilvl w:val="0"/>
          <w:numId w:val="0"/>
        </w:numPr>
        <w:spacing w:before="0" w:beforeLines="0" w:after="0" w:afterLines="0" w:line="360" w:lineRule="auto"/>
        <w:jc w:val="both"/>
        <w:outlineLvl w:val="9"/>
        <w:rPr>
          <w:rFonts w:ascii="Times New Roman"/>
        </w:rPr>
      </w:pPr>
      <w:r>
        <w:rPr>
          <w:rFonts w:ascii="Times New Roman"/>
        </w:rPr>
        <w:t>9.3 支架栽培</w:t>
      </w:r>
    </w:p>
    <w:p>
      <w:pPr>
        <w:pStyle w:val="14"/>
        <w:spacing w:line="360" w:lineRule="auto"/>
        <w:rPr>
          <w:rFonts w:ascii="Times New Roman"/>
        </w:rPr>
      </w:pPr>
      <w:r>
        <w:rPr>
          <w:rFonts w:ascii="Times New Roman"/>
        </w:rPr>
        <w:t>植株蔓长30 cm～40 cm时支架。每株一桩，在1.5 cm处用横竿连贯固定；每株用1根竹竿互相交叉成为人字形架，在150 cm处（交叉处）用横竿连贯固定。瓜苗位于架的两侧。</w:t>
      </w:r>
    </w:p>
    <w:p>
      <w:pPr>
        <w:pStyle w:val="16"/>
        <w:numPr>
          <w:ilvl w:val="0"/>
          <w:numId w:val="0"/>
        </w:numPr>
        <w:spacing w:before="0" w:beforeLines="0" w:after="0" w:afterLines="0" w:line="360" w:lineRule="auto"/>
        <w:jc w:val="both"/>
        <w:outlineLvl w:val="9"/>
        <w:rPr>
          <w:rFonts w:ascii="Times New Roman"/>
        </w:rPr>
      </w:pPr>
      <w:r>
        <w:rPr>
          <w:rFonts w:ascii="Times New Roman"/>
        </w:rPr>
        <w:t>9.4 吊蔓栽培</w:t>
      </w:r>
    </w:p>
    <w:p>
      <w:pPr>
        <w:pStyle w:val="14"/>
        <w:spacing w:line="360" w:lineRule="auto"/>
        <w:rPr>
          <w:rFonts w:ascii="Times New Roman"/>
        </w:rPr>
      </w:pPr>
      <w:r>
        <w:rPr>
          <w:rFonts w:ascii="Times New Roman"/>
        </w:rPr>
        <w:t>植株蔓长40 cm～50 cm时吊蔓。在植株上方180 cm～200 cm处拉铁丝，吊绳的上端直接绑在铁丝上，下端将吊绳直接绑在根基部，也可以绑在地面的固定物上。每株瓜秧用一根绳，随着茎蔓的生长，将蔓缠绕在吊绳上。</w:t>
      </w:r>
    </w:p>
    <w:p>
      <w:pPr>
        <w:pStyle w:val="16"/>
        <w:numPr>
          <w:ilvl w:val="0"/>
          <w:numId w:val="0"/>
        </w:numPr>
        <w:spacing w:before="0" w:beforeLines="0" w:after="0" w:afterLines="0" w:line="360" w:lineRule="auto"/>
        <w:jc w:val="both"/>
        <w:outlineLvl w:val="9"/>
        <w:rPr>
          <w:rFonts w:ascii="Times New Roman"/>
        </w:rPr>
      </w:pPr>
      <w:r>
        <w:rPr>
          <w:rFonts w:ascii="Times New Roman"/>
        </w:rPr>
        <w:t>9.5爬地栽培</w:t>
      </w:r>
    </w:p>
    <w:p>
      <w:pPr>
        <w:pStyle w:val="14"/>
        <w:spacing w:line="360" w:lineRule="auto"/>
        <w:rPr>
          <w:rFonts w:ascii="Times New Roman"/>
        </w:rPr>
      </w:pPr>
      <w:r>
        <w:rPr>
          <w:rFonts w:ascii="Times New Roman"/>
        </w:rPr>
        <w:t>露地种植宜采用爬地栽培，植株蔓长50 cm～100 cm时进行压蔓，用土压蔓时应避开雌花。</w:t>
      </w:r>
    </w:p>
    <w:p>
      <w:pPr>
        <w:pStyle w:val="16"/>
        <w:numPr>
          <w:ilvl w:val="0"/>
          <w:numId w:val="0"/>
        </w:numPr>
        <w:spacing w:before="0" w:beforeLines="0" w:after="0" w:afterLines="0" w:line="360" w:lineRule="auto"/>
        <w:jc w:val="both"/>
        <w:outlineLvl w:val="9"/>
        <w:rPr>
          <w:rFonts w:ascii="Times New Roman"/>
        </w:rPr>
      </w:pPr>
      <w:r>
        <w:rPr>
          <w:rFonts w:ascii="Times New Roman"/>
        </w:rPr>
        <w:t>9.6人工辅助授粉</w:t>
      </w:r>
    </w:p>
    <w:p>
      <w:pPr>
        <w:pStyle w:val="14"/>
        <w:spacing w:line="360" w:lineRule="auto"/>
        <w:rPr>
          <w:rFonts w:ascii="Times New Roman"/>
        </w:rPr>
      </w:pPr>
      <w:r>
        <w:rPr>
          <w:rFonts w:ascii="Times New Roman"/>
        </w:rPr>
        <w:t>授粉在早晨6时～8时雄花、雌花完全开放时，采摘雄花，剥离花冠，露出雄蕊，一只手轻轻捉住雌花的花冠，另一只手将雄蕊表面上的花粉均匀涂抹在雌花的柱头上，1朵雄花可涂抹2～3朵雌花</w:t>
      </w:r>
      <w:r>
        <w:rPr>
          <w:rFonts w:hint="eastAsia" w:ascii="Times New Roman"/>
        </w:rPr>
        <w:t>，也可采用蜜蜂授粉。</w:t>
      </w:r>
    </w:p>
    <w:p>
      <w:pPr>
        <w:pStyle w:val="13"/>
        <w:spacing w:beforeLines="0" w:afterLines="0" w:line="360" w:lineRule="auto"/>
        <w:ind w:left="0" w:firstLine="0"/>
        <w:jc w:val="both"/>
        <w:outlineLvl w:val="9"/>
        <w:rPr>
          <w:rFonts w:ascii="Times New Roman"/>
        </w:rPr>
      </w:pPr>
      <w:r>
        <w:rPr>
          <w:rFonts w:ascii="Times New Roman"/>
        </w:rPr>
        <w:t>10 病虫害防治</w:t>
      </w:r>
    </w:p>
    <w:p>
      <w:pPr>
        <w:pStyle w:val="13"/>
        <w:spacing w:beforeLines="0" w:afterLines="0" w:line="360" w:lineRule="auto"/>
        <w:ind w:left="0" w:firstLine="0"/>
        <w:jc w:val="both"/>
        <w:outlineLvl w:val="9"/>
        <w:rPr>
          <w:rFonts w:ascii="Times New Roman"/>
        </w:rPr>
      </w:pPr>
      <w:r>
        <w:rPr>
          <w:rFonts w:ascii="Times New Roman"/>
        </w:rPr>
        <w:t>10.1常见病虫害</w:t>
      </w:r>
    </w:p>
    <w:p>
      <w:pPr>
        <w:pStyle w:val="12"/>
        <w:spacing w:line="360" w:lineRule="auto"/>
        <w:contextualSpacing/>
      </w:pPr>
      <w:r>
        <w:t>主要病害：白粉病、灰霉病、病毒病、茎基腐病。</w:t>
      </w:r>
    </w:p>
    <w:p>
      <w:pPr>
        <w:pStyle w:val="12"/>
        <w:spacing w:line="360" w:lineRule="auto"/>
        <w:contextualSpacing/>
      </w:pPr>
      <w:r>
        <w:t>主要虫害：白粉虱、烟粉虱、蚜虫、美洲斑潜蝇。</w:t>
      </w:r>
    </w:p>
    <w:p>
      <w:pPr>
        <w:pStyle w:val="12"/>
        <w:spacing w:line="360" w:lineRule="auto"/>
        <w:ind w:firstLine="0" w:firstLineChars="0"/>
        <w:contextualSpacing/>
        <w:rPr>
          <w:rFonts w:eastAsia="黑体"/>
        </w:rPr>
      </w:pPr>
      <w:r>
        <w:t>10.2</w:t>
      </w:r>
      <w:r>
        <w:rPr>
          <w:rFonts w:eastAsia="黑体"/>
        </w:rPr>
        <w:t>防治原则</w:t>
      </w:r>
    </w:p>
    <w:p>
      <w:pPr>
        <w:pStyle w:val="13"/>
        <w:spacing w:beforeLines="0" w:afterLines="0" w:line="360" w:lineRule="auto"/>
        <w:ind w:left="0" w:firstLine="420" w:firstLineChars="200"/>
        <w:jc w:val="both"/>
        <w:outlineLvl w:val="9"/>
        <w:rPr>
          <w:rFonts w:ascii="Times New Roman" w:eastAsia="宋体"/>
        </w:rPr>
      </w:pPr>
      <w:r>
        <w:rPr>
          <w:rFonts w:ascii="Times New Roman" w:eastAsia="宋体"/>
        </w:rPr>
        <w:t>坚持</w:t>
      </w:r>
      <w:r>
        <w:rPr>
          <w:rFonts w:hint="eastAsia" w:ascii="Times New Roman" w:eastAsia="宋体"/>
        </w:rPr>
        <w:t>“</w:t>
      </w:r>
      <w:r>
        <w:rPr>
          <w:rFonts w:ascii="Times New Roman" w:eastAsia="宋体"/>
        </w:rPr>
        <w:t>预防为主，综合防治</w:t>
      </w:r>
      <w:r>
        <w:rPr>
          <w:rFonts w:hint="eastAsia" w:ascii="Times New Roman" w:eastAsia="宋体"/>
        </w:rPr>
        <w:t>”</w:t>
      </w:r>
      <w:r>
        <w:rPr>
          <w:rFonts w:ascii="Times New Roman" w:eastAsia="宋体"/>
        </w:rPr>
        <w:t>的原则，推行绿色防控技术，优先采用农业防治、物理防治和生物防治措施，配合使用化学防治措施。</w:t>
      </w:r>
    </w:p>
    <w:p>
      <w:pPr>
        <w:pStyle w:val="13"/>
        <w:spacing w:beforeLines="0" w:afterLines="0" w:line="360" w:lineRule="auto"/>
        <w:ind w:left="0" w:firstLine="0"/>
        <w:jc w:val="both"/>
        <w:outlineLvl w:val="9"/>
        <w:rPr>
          <w:rFonts w:ascii="Times New Roman"/>
        </w:rPr>
      </w:pPr>
      <w:r>
        <w:rPr>
          <w:rFonts w:ascii="Times New Roman"/>
        </w:rPr>
        <w:t>10.3防治措施</w:t>
      </w:r>
    </w:p>
    <w:p>
      <w:pPr>
        <w:pStyle w:val="13"/>
        <w:spacing w:beforeLines="0" w:afterLines="0" w:line="360" w:lineRule="auto"/>
        <w:ind w:left="0" w:firstLine="420" w:firstLineChars="200"/>
        <w:jc w:val="both"/>
        <w:outlineLvl w:val="9"/>
      </w:pPr>
      <w:r>
        <w:rPr>
          <w:rFonts w:hint="eastAsia" w:ascii="Times New Roman" w:eastAsia="宋体"/>
        </w:rPr>
        <w:t>农业防治：与非葫芦科作物轮作，减少病虫害发生。种植前高温闷棚减少病虫害的发生，棚内地表温度</w:t>
      </w:r>
      <w:r>
        <w:rPr>
          <w:rFonts w:ascii="Times New Roman" w:eastAsia="宋体"/>
        </w:rPr>
        <w:t xml:space="preserve">55 </w:t>
      </w:r>
      <w:r>
        <w:rPr>
          <w:rFonts w:hint="eastAsia" w:ascii="Times New Roman" w:eastAsia="宋体"/>
        </w:rPr>
        <w:t>℃，闷棚</w:t>
      </w:r>
      <w:r>
        <w:rPr>
          <w:rFonts w:ascii="Times New Roman" w:eastAsia="宋体"/>
        </w:rPr>
        <w:t xml:space="preserve">25 </w:t>
      </w:r>
      <w:r>
        <w:rPr>
          <w:rFonts w:hint="eastAsia" w:ascii="Times New Roman" w:eastAsia="宋体"/>
        </w:rPr>
        <w:t>℃</w:t>
      </w:r>
      <w:r>
        <w:rPr>
          <w:rFonts w:ascii="Times New Roman" w:eastAsia="宋体"/>
        </w:rPr>
        <w:t xml:space="preserve">-30 </w:t>
      </w:r>
      <w:r>
        <w:rPr>
          <w:rFonts w:hint="eastAsia" w:ascii="Times New Roman" w:eastAsia="宋体"/>
        </w:rPr>
        <w:t>℃培育适龄壮苗，提高抗逆性。</w:t>
      </w:r>
    </w:p>
    <w:p>
      <w:pPr>
        <w:pStyle w:val="13"/>
        <w:spacing w:beforeLines="0" w:afterLines="0" w:line="360" w:lineRule="auto"/>
        <w:ind w:left="0" w:firstLine="420" w:firstLineChars="200"/>
        <w:jc w:val="both"/>
        <w:outlineLvl w:val="9"/>
      </w:pPr>
      <w:r>
        <w:rPr>
          <w:rFonts w:hint="eastAsia" w:ascii="Times New Roman" w:eastAsia="宋体"/>
        </w:rPr>
        <w:t>物理防治：用防虫网封闭通风口防止害虫进入。黄板诱杀蚜虫，每</w:t>
      </w:r>
      <w:r>
        <w:rPr>
          <w:rFonts w:ascii="Times New Roman" w:eastAsia="宋体"/>
        </w:rPr>
        <w:t>667 m</w:t>
      </w:r>
      <w:r>
        <w:rPr>
          <w:rFonts w:ascii="Times New Roman" w:eastAsia="宋体"/>
          <w:vertAlign w:val="superscript"/>
        </w:rPr>
        <w:t>2</w:t>
      </w:r>
      <w:r>
        <w:rPr>
          <w:rFonts w:hint="eastAsia" w:ascii="Times New Roman" w:eastAsia="宋体"/>
        </w:rPr>
        <w:t>设</w:t>
      </w:r>
      <w:r>
        <w:rPr>
          <w:rFonts w:ascii="Times New Roman" w:eastAsia="宋体"/>
        </w:rPr>
        <w:t>25 cm×40 cm</w:t>
      </w:r>
      <w:r>
        <w:rPr>
          <w:rFonts w:hint="eastAsia" w:ascii="Times New Roman" w:eastAsia="宋体"/>
        </w:rPr>
        <w:t>黄板</w:t>
      </w:r>
      <w:r>
        <w:rPr>
          <w:rFonts w:ascii="Times New Roman" w:eastAsia="宋体"/>
        </w:rPr>
        <w:t>30-40</w:t>
      </w:r>
      <w:r>
        <w:rPr>
          <w:rFonts w:hint="eastAsia" w:ascii="Times New Roman" w:eastAsia="宋体"/>
        </w:rPr>
        <w:t>块，于植株上方</w:t>
      </w:r>
      <w:r>
        <w:rPr>
          <w:rFonts w:ascii="Times New Roman" w:eastAsia="宋体"/>
        </w:rPr>
        <w:t xml:space="preserve">10 </w:t>
      </w:r>
      <w:r>
        <w:rPr>
          <w:rFonts w:hint="eastAsia" w:ascii="Times New Roman" w:eastAsia="宋体"/>
        </w:rPr>
        <w:t>cm</w:t>
      </w:r>
      <w:r>
        <w:rPr>
          <w:rFonts w:ascii="Times New Roman" w:eastAsia="宋体"/>
        </w:rPr>
        <w:t>-15 cm</w:t>
      </w:r>
      <w:r>
        <w:rPr>
          <w:rFonts w:hint="eastAsia" w:ascii="Times New Roman" w:eastAsia="宋体"/>
        </w:rPr>
        <w:t>处。棚外安装频振式杀虫灯诱杀害虫，辐射半径</w:t>
      </w:r>
      <w:r>
        <w:rPr>
          <w:rFonts w:ascii="Times New Roman" w:eastAsia="宋体"/>
        </w:rPr>
        <w:t>80 m-100 m</w:t>
      </w:r>
      <w:r>
        <w:rPr>
          <w:rFonts w:hint="eastAsia" w:ascii="Times New Roman" w:eastAsia="宋体"/>
        </w:rPr>
        <w:t>，离地高度</w:t>
      </w:r>
      <w:r>
        <w:rPr>
          <w:rFonts w:ascii="Times New Roman" w:eastAsia="宋体"/>
        </w:rPr>
        <w:t>1.2 m-1.5 m</w:t>
      </w:r>
      <w:r>
        <w:rPr>
          <w:rFonts w:hint="eastAsia" w:ascii="Times New Roman" w:eastAsia="宋体"/>
        </w:rPr>
        <w:t>。</w:t>
      </w:r>
    </w:p>
    <w:p>
      <w:pPr>
        <w:pStyle w:val="13"/>
        <w:spacing w:beforeLines="0" w:afterLines="0" w:line="360" w:lineRule="auto"/>
        <w:ind w:left="0" w:firstLine="0"/>
        <w:jc w:val="both"/>
        <w:outlineLvl w:val="9"/>
        <w:rPr>
          <w:rFonts w:ascii="Times New Roman"/>
        </w:rPr>
      </w:pPr>
      <w:r>
        <w:rPr>
          <w:rFonts w:ascii="Times New Roman"/>
        </w:rPr>
        <w:t>11 采收与包装</w:t>
      </w:r>
    </w:p>
    <w:p>
      <w:pPr>
        <w:pStyle w:val="12"/>
        <w:spacing w:line="360" w:lineRule="auto"/>
        <w:contextualSpacing/>
      </w:pPr>
      <w:r>
        <w:t>根据市场需求适时采收，</w:t>
      </w:r>
      <w:r>
        <w:rPr>
          <w:rFonts w:hint="eastAsia"/>
        </w:rPr>
        <w:t>嫩瓜采收一般在花后</w:t>
      </w:r>
      <w:r>
        <w:t>10-15天进行，老瓜采收一般在花后35-50天进行</w:t>
      </w:r>
      <w:r>
        <w:rPr>
          <w:rFonts w:hint="eastAsia"/>
        </w:rPr>
        <w:t>。</w:t>
      </w:r>
      <w:r>
        <w:t>要求果实完整、清洁、有光泽、无萎蔫、外观新鲜；无冷害、冻害，无病斑、腐烂或变质，无虫害及其他机械损伤。产品质量应符合NY/T747的规定。采收后应按大小、形状、品质进行分类分级，分别包装。 包装应符合NY/T658的规定。</w:t>
      </w:r>
    </w:p>
    <w:p>
      <w:pPr>
        <w:pStyle w:val="13"/>
        <w:spacing w:beforeLines="0" w:afterLines="0" w:line="360" w:lineRule="auto"/>
        <w:ind w:left="0" w:firstLine="0"/>
        <w:jc w:val="both"/>
        <w:outlineLvl w:val="9"/>
        <w:rPr>
          <w:rFonts w:ascii="Times New Roman"/>
        </w:rPr>
      </w:pPr>
      <w:r>
        <w:rPr>
          <w:rFonts w:ascii="Times New Roman"/>
        </w:rPr>
        <w:t>12 生产废弃物的处理</w:t>
      </w:r>
    </w:p>
    <w:p>
      <w:pPr>
        <w:pStyle w:val="12"/>
        <w:spacing w:line="360" w:lineRule="auto"/>
        <w:contextualSpacing/>
      </w:pPr>
      <w:r>
        <w:t>生产过程中及时清除老叶、病叶等残体。南瓜落秧前摘除的老叶、病叶以及拉秧后将植株连根拔起的植株残体全部拉到指定的地点处理。清除的病叶、病株及杂草，应统一处理或就地深埋，亦可与有机肥一同进行发酵腐熟后，作为肥料使用。</w:t>
      </w:r>
    </w:p>
    <w:p>
      <w:pPr>
        <w:pStyle w:val="12"/>
        <w:spacing w:line="360" w:lineRule="auto"/>
        <w:contextualSpacing/>
      </w:pPr>
      <w:r>
        <w:t>采收结束后应及时清理地膜等生产废弃物，地膜、防虫网、滴灌带等应集中回收处理。</w:t>
      </w:r>
    </w:p>
    <w:p>
      <w:pPr>
        <w:pStyle w:val="12"/>
        <w:spacing w:line="360" w:lineRule="auto"/>
        <w:contextualSpacing/>
      </w:pPr>
      <w:r>
        <w:t>农药包装袋、包装瓶作为有害垃圾，应集中做无害化处理。</w:t>
      </w:r>
    </w:p>
    <w:p>
      <w:pPr>
        <w:pStyle w:val="13"/>
        <w:spacing w:beforeLines="0" w:afterLines="0" w:line="360" w:lineRule="auto"/>
        <w:ind w:left="0" w:firstLine="0"/>
        <w:jc w:val="both"/>
        <w:outlineLvl w:val="9"/>
        <w:rPr>
          <w:rFonts w:ascii="Times New Roman"/>
        </w:rPr>
      </w:pPr>
      <w:r>
        <w:rPr>
          <w:rFonts w:ascii="Times New Roman"/>
        </w:rPr>
        <w:t xml:space="preserve">13 </w:t>
      </w:r>
      <w:r>
        <w:rPr>
          <w:rFonts w:hint="eastAsia" w:ascii="Times New Roman"/>
        </w:rPr>
        <w:t>储</w:t>
      </w:r>
      <w:r>
        <w:rPr>
          <w:rFonts w:ascii="Times New Roman"/>
        </w:rPr>
        <w:t>藏与运输</w:t>
      </w:r>
    </w:p>
    <w:p>
      <w:pPr>
        <w:pStyle w:val="12"/>
        <w:spacing w:line="360" w:lineRule="auto"/>
        <w:contextualSpacing/>
      </w:pPr>
      <w:r>
        <w:rPr>
          <w:rFonts w:hint="eastAsia"/>
        </w:rPr>
        <w:t>储</w:t>
      </w:r>
      <w:r>
        <w:t>藏与运输应符合NY/T1056的规定，适宜的贮</w:t>
      </w:r>
      <w:r>
        <w:rPr>
          <w:rFonts w:hint="eastAsia"/>
        </w:rPr>
        <w:t>储</w:t>
      </w:r>
      <w:r>
        <w:t>藏温度为11 ℃～15 ℃，空气相对湿度保持在90 %～95 %。库内</w:t>
      </w:r>
      <w:r>
        <w:rPr>
          <w:rFonts w:hint="eastAsia"/>
        </w:rPr>
        <w:t>堆</w:t>
      </w:r>
      <w:r>
        <w:t>码应保证气流均匀流通。运输前应进行预冷，运输过程中注意防冻、防雨、防晒、通风散热。</w:t>
      </w:r>
    </w:p>
    <w:p>
      <w:pPr>
        <w:pStyle w:val="13"/>
        <w:spacing w:beforeLines="0" w:afterLines="0" w:line="360" w:lineRule="auto"/>
        <w:ind w:left="0" w:firstLine="0"/>
        <w:jc w:val="both"/>
        <w:outlineLvl w:val="9"/>
        <w:rPr>
          <w:rFonts w:ascii="Times New Roman"/>
        </w:rPr>
      </w:pPr>
      <w:r>
        <w:rPr>
          <w:rFonts w:ascii="Times New Roman"/>
        </w:rPr>
        <w:t>14 生产档案</w:t>
      </w:r>
    </w:p>
    <w:p>
      <w:pPr>
        <w:spacing w:line="400" w:lineRule="atLeast"/>
        <w:ind w:firstLine="420" w:firstLineChars="200"/>
        <w:contextualSpacing/>
        <w:sectPr>
          <w:pgSz w:w="11906" w:h="16838"/>
          <w:pgMar w:top="1440" w:right="1800" w:bottom="1440" w:left="1800" w:header="851" w:footer="992" w:gutter="0"/>
          <w:cols w:space="425" w:num="1"/>
          <w:docGrid w:type="lines" w:linePitch="312" w:charSpace="0"/>
        </w:sectPr>
      </w:pPr>
      <w:r>
        <w:t>生产过程、农业投入品使用、田间管理等生产档案。详细记录生产技术、病虫害防治、采收等具体措施，应保存3年。</w:t>
      </w:r>
    </w:p>
    <w:p>
      <w:pPr>
        <w:spacing w:line="400" w:lineRule="atLeast"/>
        <w:ind w:firstLine="420" w:firstLineChars="200"/>
        <w:contextualSpacing/>
        <w:jc w:val="center"/>
        <w:rPr>
          <w:rFonts w:eastAsia="黑体"/>
          <w:kern w:val="0"/>
          <w:szCs w:val="21"/>
        </w:rPr>
      </w:pPr>
      <w:r>
        <w:rPr>
          <w:rFonts w:eastAsia="黑体"/>
          <w:kern w:val="0"/>
          <w:szCs w:val="21"/>
        </w:rPr>
        <w:t>附录A</w:t>
      </w:r>
    </w:p>
    <w:p>
      <w:pPr>
        <w:spacing w:line="400" w:lineRule="atLeast"/>
        <w:ind w:firstLine="420" w:firstLineChars="200"/>
        <w:contextualSpacing/>
        <w:jc w:val="center"/>
        <w:rPr>
          <w:rFonts w:eastAsia="黑体"/>
          <w:kern w:val="0"/>
          <w:szCs w:val="21"/>
        </w:rPr>
      </w:pPr>
      <w:r>
        <w:rPr>
          <w:rFonts w:eastAsia="黑体"/>
          <w:kern w:val="0"/>
          <w:szCs w:val="21"/>
        </w:rPr>
        <w:t>（资料性附录）</w:t>
      </w:r>
    </w:p>
    <w:p>
      <w:pPr>
        <w:spacing w:line="400" w:lineRule="atLeast"/>
        <w:ind w:firstLine="420" w:firstLineChars="200"/>
        <w:contextualSpacing/>
        <w:jc w:val="center"/>
        <w:rPr>
          <w:rFonts w:eastAsia="黑体"/>
          <w:kern w:val="0"/>
          <w:szCs w:val="21"/>
        </w:rPr>
      </w:pPr>
      <w:r>
        <w:rPr>
          <w:rFonts w:hint="eastAsia" w:eastAsia="黑体"/>
          <w:kern w:val="0"/>
          <w:szCs w:val="21"/>
        </w:rPr>
        <w:t>陕甘宁等地区 绿色食品</w:t>
      </w:r>
      <w:r>
        <w:rPr>
          <w:rFonts w:eastAsia="黑体"/>
          <w:kern w:val="0"/>
          <w:szCs w:val="21"/>
        </w:rPr>
        <w:t>南瓜</w:t>
      </w:r>
      <w:r>
        <w:rPr>
          <w:rFonts w:hint="eastAsia" w:eastAsia="黑体"/>
          <w:kern w:val="0"/>
          <w:szCs w:val="21"/>
        </w:rPr>
        <w:t>主要病虫草害防治推荐农药使用方案</w:t>
      </w:r>
    </w:p>
    <w:p>
      <w:pPr>
        <w:spacing w:line="400" w:lineRule="atLeast"/>
        <w:ind w:firstLine="420" w:firstLineChars="200"/>
        <w:contextualSpacing/>
        <w:jc w:val="center"/>
        <w:rPr>
          <w:rFonts w:eastAsia="黑体"/>
          <w:kern w:val="0"/>
          <w:szCs w:val="21"/>
        </w:rPr>
      </w:pPr>
    </w:p>
    <w:p>
      <w:pPr>
        <w:spacing w:line="400" w:lineRule="atLeast"/>
        <w:ind w:firstLine="420" w:firstLineChars="200"/>
        <w:contextualSpacing/>
        <w:jc w:val="left"/>
        <w:rPr>
          <w:rFonts w:ascii="宋体" w:hAnsi="宋体" w:eastAsia="宋体"/>
          <w:kern w:val="0"/>
          <w:szCs w:val="21"/>
        </w:rPr>
      </w:pPr>
      <w:r>
        <w:rPr>
          <w:rFonts w:hint="eastAsia" w:ascii="宋体" w:hAnsi="宋体" w:eastAsia="宋体"/>
          <w:kern w:val="0"/>
          <w:szCs w:val="21"/>
        </w:rPr>
        <w:t>陕甘宁等地区 绿色食品</w:t>
      </w:r>
      <w:r>
        <w:rPr>
          <w:rFonts w:ascii="宋体" w:hAnsi="宋体" w:eastAsia="宋体"/>
          <w:kern w:val="0"/>
          <w:szCs w:val="21"/>
        </w:rPr>
        <w:t>南瓜</w:t>
      </w:r>
      <w:r>
        <w:rPr>
          <w:rFonts w:hint="eastAsia" w:ascii="宋体" w:hAnsi="宋体" w:eastAsia="宋体"/>
          <w:kern w:val="0"/>
          <w:szCs w:val="21"/>
        </w:rPr>
        <w:t>主要病虫草害防治推荐农药使用方案见</w:t>
      </w:r>
      <w:r>
        <w:rPr>
          <w:rFonts w:ascii="宋体" w:hAnsi="宋体" w:eastAsia="宋体"/>
          <w:kern w:val="0"/>
          <w:szCs w:val="21"/>
        </w:rPr>
        <w:t>表</w:t>
      </w:r>
      <w:r>
        <w:rPr>
          <w:rFonts w:hint="eastAsia" w:ascii="宋体" w:hAnsi="宋体" w:eastAsia="宋体"/>
          <w:kern w:val="0"/>
          <w:szCs w:val="21"/>
        </w:rPr>
        <w:t>A.1。</w:t>
      </w:r>
    </w:p>
    <w:p>
      <w:pPr>
        <w:spacing w:line="400" w:lineRule="atLeast"/>
        <w:ind w:firstLine="420" w:firstLineChars="200"/>
        <w:contextualSpacing/>
        <w:jc w:val="center"/>
        <w:rPr>
          <w:rFonts w:eastAsia="黑体"/>
          <w:kern w:val="0"/>
          <w:szCs w:val="21"/>
        </w:rPr>
      </w:pPr>
    </w:p>
    <w:p>
      <w:pPr>
        <w:spacing w:line="400" w:lineRule="atLeast"/>
        <w:ind w:firstLine="420" w:firstLineChars="200"/>
        <w:contextualSpacing/>
        <w:jc w:val="center"/>
        <w:rPr>
          <w:rFonts w:ascii="黑体" w:hAnsi="黑体" w:eastAsia="黑体"/>
          <w:kern w:val="0"/>
          <w:szCs w:val="21"/>
        </w:rPr>
      </w:pPr>
      <w:r>
        <w:rPr>
          <w:rFonts w:hint="eastAsia" w:ascii="黑体" w:hAnsi="黑体" w:eastAsia="黑体"/>
          <w:kern w:val="0"/>
          <w:szCs w:val="21"/>
        </w:rPr>
        <w:t>表</w:t>
      </w:r>
      <w:r>
        <w:rPr>
          <w:rFonts w:ascii="黑体" w:hAnsi="黑体" w:eastAsia="黑体"/>
          <w:kern w:val="0"/>
          <w:szCs w:val="21"/>
        </w:rPr>
        <w:t>A.1</w:t>
      </w:r>
      <w:r>
        <w:rPr>
          <w:rFonts w:hint="eastAsia" w:ascii="黑体" w:hAnsi="黑体" w:eastAsia="黑体"/>
          <w:kern w:val="0"/>
          <w:szCs w:val="21"/>
        </w:rPr>
        <w:t>陕甘宁等地区 绿色食品</w:t>
      </w:r>
      <w:r>
        <w:rPr>
          <w:rFonts w:ascii="黑体" w:hAnsi="黑体" w:eastAsia="黑体"/>
          <w:kern w:val="0"/>
          <w:szCs w:val="21"/>
        </w:rPr>
        <w:t>南瓜</w:t>
      </w:r>
      <w:r>
        <w:rPr>
          <w:rFonts w:hint="eastAsia" w:ascii="黑体" w:hAnsi="黑体" w:eastAsia="黑体"/>
          <w:kern w:val="0"/>
          <w:szCs w:val="21"/>
        </w:rPr>
        <w:t>主要病虫草害防治推荐农药使用方案</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848"/>
        <w:gridCol w:w="1984"/>
        <w:gridCol w:w="1559"/>
        <w:gridCol w:w="112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134" w:type="dxa"/>
            <w:vAlign w:val="center"/>
          </w:tcPr>
          <w:p>
            <w:pPr>
              <w:widowControl/>
              <w:adjustRightInd w:val="0"/>
              <w:snapToGrid w:val="0"/>
              <w:jc w:val="center"/>
              <w:rPr>
                <w:b/>
                <w:kern w:val="0"/>
                <w:szCs w:val="21"/>
              </w:rPr>
            </w:pPr>
            <w:r>
              <w:rPr>
                <w:b/>
                <w:kern w:val="0"/>
                <w:szCs w:val="21"/>
              </w:rPr>
              <w:t>防治对象</w:t>
            </w:r>
          </w:p>
        </w:tc>
        <w:tc>
          <w:tcPr>
            <w:tcW w:w="1848" w:type="dxa"/>
            <w:vAlign w:val="center"/>
          </w:tcPr>
          <w:p>
            <w:pPr>
              <w:widowControl/>
              <w:adjustRightInd w:val="0"/>
              <w:snapToGrid w:val="0"/>
              <w:jc w:val="center"/>
              <w:rPr>
                <w:b/>
                <w:kern w:val="0"/>
                <w:szCs w:val="21"/>
              </w:rPr>
            </w:pPr>
            <w:r>
              <w:rPr>
                <w:b/>
                <w:kern w:val="0"/>
                <w:szCs w:val="21"/>
              </w:rPr>
              <w:t>防治时期</w:t>
            </w:r>
          </w:p>
        </w:tc>
        <w:tc>
          <w:tcPr>
            <w:tcW w:w="1984" w:type="dxa"/>
            <w:vAlign w:val="center"/>
          </w:tcPr>
          <w:p>
            <w:pPr>
              <w:widowControl/>
              <w:adjustRightInd w:val="0"/>
              <w:snapToGrid w:val="0"/>
              <w:jc w:val="center"/>
              <w:rPr>
                <w:b/>
                <w:kern w:val="0"/>
                <w:szCs w:val="21"/>
              </w:rPr>
            </w:pPr>
            <w:r>
              <w:rPr>
                <w:b/>
                <w:kern w:val="0"/>
                <w:szCs w:val="21"/>
              </w:rPr>
              <w:t>农药名称</w:t>
            </w:r>
          </w:p>
        </w:tc>
        <w:tc>
          <w:tcPr>
            <w:tcW w:w="1559" w:type="dxa"/>
            <w:vAlign w:val="center"/>
          </w:tcPr>
          <w:p>
            <w:pPr>
              <w:widowControl/>
              <w:adjustRightInd w:val="0"/>
              <w:snapToGrid w:val="0"/>
              <w:jc w:val="center"/>
              <w:rPr>
                <w:b/>
                <w:kern w:val="0"/>
                <w:szCs w:val="21"/>
              </w:rPr>
            </w:pPr>
            <w:r>
              <w:rPr>
                <w:b/>
                <w:kern w:val="0"/>
                <w:szCs w:val="21"/>
              </w:rPr>
              <w:t>使用量</w:t>
            </w:r>
          </w:p>
        </w:tc>
        <w:tc>
          <w:tcPr>
            <w:tcW w:w="1125" w:type="dxa"/>
            <w:vAlign w:val="center"/>
          </w:tcPr>
          <w:p>
            <w:pPr>
              <w:widowControl/>
              <w:adjustRightInd w:val="0"/>
              <w:snapToGrid w:val="0"/>
              <w:jc w:val="center"/>
              <w:rPr>
                <w:b/>
                <w:kern w:val="0"/>
                <w:szCs w:val="21"/>
              </w:rPr>
            </w:pPr>
            <w:r>
              <w:rPr>
                <w:b/>
                <w:kern w:val="0"/>
                <w:szCs w:val="21"/>
              </w:rPr>
              <w:t>使用方法</w:t>
            </w:r>
          </w:p>
        </w:tc>
        <w:tc>
          <w:tcPr>
            <w:tcW w:w="1276" w:type="dxa"/>
            <w:vAlign w:val="center"/>
          </w:tcPr>
          <w:p>
            <w:pPr>
              <w:widowControl/>
              <w:adjustRightInd w:val="0"/>
              <w:snapToGrid w:val="0"/>
              <w:jc w:val="center"/>
              <w:rPr>
                <w:b/>
                <w:kern w:val="0"/>
                <w:szCs w:val="21"/>
              </w:rPr>
            </w:pPr>
            <w:r>
              <w:rPr>
                <w:b/>
                <w:kern w:val="0"/>
                <w:szCs w:val="21"/>
              </w:rPr>
              <w:t>安全间隔期（d）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34" w:type="dxa"/>
            <w:vAlign w:val="center"/>
          </w:tcPr>
          <w:p>
            <w:pPr>
              <w:widowControl/>
              <w:adjustRightInd w:val="0"/>
              <w:snapToGrid w:val="0"/>
              <w:jc w:val="center"/>
              <w:rPr>
                <w:kern w:val="0"/>
                <w:szCs w:val="21"/>
              </w:rPr>
            </w:pPr>
            <w:r>
              <w:rPr>
                <w:kern w:val="0"/>
                <w:szCs w:val="21"/>
              </w:rPr>
              <w:t>烟粉虱</w:t>
            </w:r>
          </w:p>
        </w:tc>
        <w:tc>
          <w:tcPr>
            <w:tcW w:w="1848" w:type="dxa"/>
            <w:vAlign w:val="center"/>
          </w:tcPr>
          <w:p>
            <w:pPr>
              <w:widowControl/>
              <w:adjustRightInd w:val="0"/>
              <w:snapToGrid w:val="0"/>
              <w:jc w:val="center"/>
              <w:rPr>
                <w:kern w:val="0"/>
                <w:szCs w:val="21"/>
              </w:rPr>
            </w:pPr>
            <w:r>
              <w:rPr>
                <w:kern w:val="0"/>
                <w:szCs w:val="21"/>
              </w:rPr>
              <w:t>烟粉虱发生初期进行防治</w:t>
            </w:r>
          </w:p>
        </w:tc>
        <w:tc>
          <w:tcPr>
            <w:tcW w:w="1984" w:type="dxa"/>
            <w:vAlign w:val="center"/>
          </w:tcPr>
          <w:p>
            <w:pPr>
              <w:widowControl/>
              <w:adjustRightInd w:val="0"/>
              <w:snapToGrid w:val="0"/>
              <w:jc w:val="center"/>
              <w:rPr>
                <w:kern w:val="0"/>
                <w:szCs w:val="21"/>
              </w:rPr>
            </w:pPr>
            <w:r>
              <w:rPr>
                <w:kern w:val="0"/>
                <w:szCs w:val="21"/>
              </w:rPr>
              <w:t>40% 吡蚜酮·溴氰虫酰胺水分散粒剂</w:t>
            </w:r>
          </w:p>
        </w:tc>
        <w:tc>
          <w:tcPr>
            <w:tcW w:w="1559" w:type="dxa"/>
            <w:vAlign w:val="center"/>
          </w:tcPr>
          <w:p>
            <w:pPr>
              <w:widowControl/>
              <w:adjustRightInd w:val="0"/>
              <w:snapToGrid w:val="0"/>
              <w:jc w:val="center"/>
              <w:rPr>
                <w:kern w:val="0"/>
                <w:szCs w:val="21"/>
              </w:rPr>
            </w:pPr>
            <w:r>
              <w:rPr>
                <w:kern w:val="0"/>
                <w:szCs w:val="21"/>
              </w:rPr>
              <w:t>40</w:t>
            </w:r>
            <w:r>
              <w:rPr>
                <w:rFonts w:hint="eastAsia"/>
                <w:kern w:val="0"/>
                <w:szCs w:val="21"/>
              </w:rPr>
              <w:t xml:space="preserve"> g/亩</w:t>
            </w:r>
            <w:r>
              <w:rPr>
                <w:kern w:val="0"/>
                <w:szCs w:val="21"/>
              </w:rPr>
              <w:t>~60</w:t>
            </w:r>
            <w:r>
              <w:rPr>
                <w:rFonts w:hint="eastAsia"/>
                <w:kern w:val="0"/>
                <w:szCs w:val="21"/>
              </w:rPr>
              <w:t xml:space="preserve"> g/亩</w:t>
            </w:r>
          </w:p>
        </w:tc>
        <w:tc>
          <w:tcPr>
            <w:tcW w:w="1125" w:type="dxa"/>
            <w:vAlign w:val="center"/>
          </w:tcPr>
          <w:p>
            <w:pPr>
              <w:widowControl/>
              <w:adjustRightInd w:val="0"/>
              <w:snapToGrid w:val="0"/>
              <w:jc w:val="center"/>
              <w:rPr>
                <w:kern w:val="0"/>
                <w:szCs w:val="21"/>
              </w:rPr>
            </w:pPr>
            <w:r>
              <w:rPr>
                <w:kern w:val="0"/>
                <w:szCs w:val="21"/>
              </w:rPr>
              <w:t>喷雾</w:t>
            </w:r>
          </w:p>
        </w:tc>
        <w:tc>
          <w:tcPr>
            <w:tcW w:w="1276" w:type="dxa"/>
            <w:vAlign w:val="center"/>
          </w:tcPr>
          <w:p>
            <w:pPr>
              <w:widowControl/>
              <w:adjustRightInd w:val="0"/>
              <w:snapToGrid w:val="0"/>
              <w:jc w:val="center"/>
              <w:rPr>
                <w:kern w:val="0"/>
                <w:szCs w:val="21"/>
              </w:rPr>
            </w:pPr>
            <w:r>
              <w:rPr>
                <w:kern w:val="0"/>
                <w:szCs w:val="21"/>
              </w:rPr>
              <w:t xml:space="preserve">14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26" w:type="dxa"/>
            <w:gridSpan w:val="6"/>
            <w:vAlign w:val="center"/>
          </w:tcPr>
          <w:p>
            <w:pPr>
              <w:widowControl/>
              <w:adjustRightInd w:val="0"/>
              <w:snapToGrid w:val="0"/>
              <w:rPr>
                <w:kern w:val="0"/>
                <w:szCs w:val="21"/>
              </w:rPr>
            </w:pPr>
            <w:r>
              <w:rPr>
                <w:kern w:val="0"/>
                <w:szCs w:val="21"/>
              </w:rPr>
              <w:t>注：农药使用以最新版本NY/T</w:t>
            </w:r>
            <w:r>
              <w:rPr>
                <w:rFonts w:hint="eastAsia"/>
                <w:kern w:val="0"/>
                <w:szCs w:val="21"/>
              </w:rPr>
              <w:t xml:space="preserve"> </w:t>
            </w:r>
            <w:r>
              <w:rPr>
                <w:kern w:val="0"/>
                <w:szCs w:val="21"/>
              </w:rPr>
              <w:t>393的规定为准。</w:t>
            </w:r>
          </w:p>
        </w:tc>
      </w:tr>
    </w:tbl>
    <w:p>
      <w:pPr>
        <w:pStyle w:val="22"/>
        <w:ind w:firstLine="0" w:firstLineChars="0"/>
        <w:rPr>
          <w:rFonts w:ascii="Times New Roman" w:cs="Times New Roman"/>
          <w:b/>
          <w:bCs/>
        </w:rPr>
      </w:pPr>
    </w:p>
    <w:p>
      <w:pPr>
        <w:pStyle w:val="22"/>
        <w:ind w:firstLine="0" w:firstLineChars="0"/>
        <w:rPr>
          <w:rFonts w:ascii="Times New Roman" w:cs="Times New Roman"/>
        </w:rPr>
      </w:pPr>
      <w:r>
        <w:rPr>
          <w:rFonts w:ascii="Times New Roman" w:cs="Times New Roman"/>
        </w:rPr>
        <mc:AlternateContent>
          <mc:Choice Requires="wps">
            <w:drawing>
              <wp:anchor distT="0" distB="0" distL="114300" distR="114300" simplePos="0" relativeHeight="251661312" behindDoc="0" locked="0" layoutInCell="1" allowOverlap="1">
                <wp:simplePos x="0" y="0"/>
                <wp:positionH relativeFrom="column">
                  <wp:posOffset>1097280</wp:posOffset>
                </wp:positionH>
                <wp:positionV relativeFrom="paragraph">
                  <wp:posOffset>163195</wp:posOffset>
                </wp:positionV>
                <wp:extent cx="2943860" cy="0"/>
                <wp:effectExtent l="0" t="0" r="27940" b="19050"/>
                <wp:wrapNone/>
                <wp:docPr id="3" name="直接连接符 3"/>
                <wp:cNvGraphicFramePr/>
                <a:graphic xmlns:a="http://schemas.openxmlformats.org/drawingml/2006/main">
                  <a:graphicData uri="http://schemas.microsoft.com/office/word/2010/wordprocessingShape">
                    <wps:wsp>
                      <wps:cNvCnPr/>
                      <wps:spPr>
                        <a:xfrm>
                          <a:off x="0" y="0"/>
                          <a:ext cx="2943922"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86.4pt;margin-top:12.85pt;height:0pt;width:231.8pt;z-index:251661312;mso-width-relative:page;mso-height-relative:page;" filled="f" stroked="t" coordsize="21600,21600" o:gfxdata="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RNoL61gAAAAkB&#10;AAAPAAAAAAAAAAEAIAAAACIAAABkcnMvZG93bnJldi54bWxQSwECFAAUAAAACACHTuJAD4LlcuQB&#10;AACxAwAADgAAAAAAAAABACAAAAAlAQAAZHJzL2Uyb0RvYy54bWxQSwUGAAAAAAYABgBZAQAAewUA&#10;AAAA&#10;">
                <v:fill on="f" focussize="0,0"/>
                <v:stroke weight="0.5pt" color="#000000 [3213]" miterlimit="8" joinstyle="miter"/>
                <v:imagedata o:title=""/>
                <o:lock v:ext="edit" aspectratio="f"/>
              </v:line>
            </w:pict>
          </mc:Fallback>
        </mc:AlternateContent>
      </w:r>
    </w:p>
    <w:p>
      <w:pPr>
        <w:pStyle w:val="12"/>
        <w:spacing w:before="156" w:beforeLines="50" w:after="156" w:afterLines="50" w:line="400" w:lineRule="exact"/>
        <w:ind w:firstLine="0" w:firstLineChars="0"/>
        <w:contextualSpacing/>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roman"/>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552153"/>
    <w:multiLevelType w:val="multilevel"/>
    <w:tmpl w:val="44552153"/>
    <w:lvl w:ilvl="0" w:tentative="0">
      <w:start w:val="1"/>
      <w:numFmt w:val="decimal"/>
      <w:pStyle w:val="17"/>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pStyle w:val="16"/>
      <w:lvlText w:val="%3."/>
      <w:lvlJc w:val="left"/>
      <w:pPr>
        <w:tabs>
          <w:tab w:val="left" w:pos="2160"/>
        </w:tabs>
        <w:ind w:left="2160" w:hanging="720"/>
      </w:pPr>
    </w:lvl>
    <w:lvl w:ilvl="3" w:tentative="0">
      <w:start w:val="1"/>
      <w:numFmt w:val="decimal"/>
      <w:pStyle w:val="18"/>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lYzUyZmM2ZDI4MGYwMjkxNDExZjNkYmFmNWNiNjAifQ=="/>
  </w:docVars>
  <w:rsids>
    <w:rsidRoot w:val="00610C82"/>
    <w:rsid w:val="00000AC5"/>
    <w:rsid w:val="00001486"/>
    <w:rsid w:val="000030C5"/>
    <w:rsid w:val="00027EE8"/>
    <w:rsid w:val="00030555"/>
    <w:rsid w:val="00051075"/>
    <w:rsid w:val="00051B84"/>
    <w:rsid w:val="000524B7"/>
    <w:rsid w:val="00057731"/>
    <w:rsid w:val="00063A8F"/>
    <w:rsid w:val="00065E74"/>
    <w:rsid w:val="00075CB6"/>
    <w:rsid w:val="00091D7A"/>
    <w:rsid w:val="00096BF7"/>
    <w:rsid w:val="000B441D"/>
    <w:rsid w:val="000C09DB"/>
    <w:rsid w:val="000C559D"/>
    <w:rsid w:val="000C6CA2"/>
    <w:rsid w:val="000D0EE0"/>
    <w:rsid w:val="000D26FD"/>
    <w:rsid w:val="000D3499"/>
    <w:rsid w:val="000E05A4"/>
    <w:rsid w:val="000E7FCA"/>
    <w:rsid w:val="00104115"/>
    <w:rsid w:val="00106207"/>
    <w:rsid w:val="00113688"/>
    <w:rsid w:val="00121E52"/>
    <w:rsid w:val="00122878"/>
    <w:rsid w:val="00137026"/>
    <w:rsid w:val="001560B7"/>
    <w:rsid w:val="001949A3"/>
    <w:rsid w:val="001965CC"/>
    <w:rsid w:val="001A3B8C"/>
    <w:rsid w:val="001A4841"/>
    <w:rsid w:val="001B5838"/>
    <w:rsid w:val="001B7580"/>
    <w:rsid w:val="001C4217"/>
    <w:rsid w:val="001C6E53"/>
    <w:rsid w:val="001D219D"/>
    <w:rsid w:val="001D2628"/>
    <w:rsid w:val="001D43AB"/>
    <w:rsid w:val="001D6024"/>
    <w:rsid w:val="001F0262"/>
    <w:rsid w:val="001F159B"/>
    <w:rsid w:val="001F3C53"/>
    <w:rsid w:val="0021379E"/>
    <w:rsid w:val="00214A31"/>
    <w:rsid w:val="0022112E"/>
    <w:rsid w:val="00223306"/>
    <w:rsid w:val="00225F79"/>
    <w:rsid w:val="00251B08"/>
    <w:rsid w:val="00260E5E"/>
    <w:rsid w:val="00270ADA"/>
    <w:rsid w:val="002741B1"/>
    <w:rsid w:val="00285503"/>
    <w:rsid w:val="00290535"/>
    <w:rsid w:val="00297517"/>
    <w:rsid w:val="002A544D"/>
    <w:rsid w:val="002B12AE"/>
    <w:rsid w:val="002B1F25"/>
    <w:rsid w:val="002D3627"/>
    <w:rsid w:val="002D5160"/>
    <w:rsid w:val="002E3656"/>
    <w:rsid w:val="002F1C5F"/>
    <w:rsid w:val="002F7B1A"/>
    <w:rsid w:val="0031413C"/>
    <w:rsid w:val="003361F9"/>
    <w:rsid w:val="00380EF4"/>
    <w:rsid w:val="00382B5C"/>
    <w:rsid w:val="0039207B"/>
    <w:rsid w:val="003B5494"/>
    <w:rsid w:val="003B77B9"/>
    <w:rsid w:val="003F14A5"/>
    <w:rsid w:val="003F173D"/>
    <w:rsid w:val="00407715"/>
    <w:rsid w:val="00443074"/>
    <w:rsid w:val="00454DE7"/>
    <w:rsid w:val="00456FF6"/>
    <w:rsid w:val="0046067C"/>
    <w:rsid w:val="004638C8"/>
    <w:rsid w:val="00466582"/>
    <w:rsid w:val="00493FA9"/>
    <w:rsid w:val="00497878"/>
    <w:rsid w:val="004C684C"/>
    <w:rsid w:val="004D2AA0"/>
    <w:rsid w:val="004F27C0"/>
    <w:rsid w:val="004F3528"/>
    <w:rsid w:val="004F6015"/>
    <w:rsid w:val="00500FF7"/>
    <w:rsid w:val="005071B3"/>
    <w:rsid w:val="00514CAD"/>
    <w:rsid w:val="0052421A"/>
    <w:rsid w:val="00525A00"/>
    <w:rsid w:val="00526A54"/>
    <w:rsid w:val="00531BD3"/>
    <w:rsid w:val="00535FA8"/>
    <w:rsid w:val="005370F7"/>
    <w:rsid w:val="005467A8"/>
    <w:rsid w:val="00550184"/>
    <w:rsid w:val="00556E3D"/>
    <w:rsid w:val="00583CEE"/>
    <w:rsid w:val="00585F4C"/>
    <w:rsid w:val="00586B0E"/>
    <w:rsid w:val="00587146"/>
    <w:rsid w:val="005C6B76"/>
    <w:rsid w:val="005E0E71"/>
    <w:rsid w:val="005E19CB"/>
    <w:rsid w:val="005E4817"/>
    <w:rsid w:val="005F1FBC"/>
    <w:rsid w:val="005F364A"/>
    <w:rsid w:val="00605DFB"/>
    <w:rsid w:val="00610C82"/>
    <w:rsid w:val="0061788C"/>
    <w:rsid w:val="00621AF1"/>
    <w:rsid w:val="00626359"/>
    <w:rsid w:val="006272E7"/>
    <w:rsid w:val="00631982"/>
    <w:rsid w:val="006366F6"/>
    <w:rsid w:val="00644192"/>
    <w:rsid w:val="00645588"/>
    <w:rsid w:val="00654FA7"/>
    <w:rsid w:val="00664ABD"/>
    <w:rsid w:val="00674D58"/>
    <w:rsid w:val="00683344"/>
    <w:rsid w:val="00683779"/>
    <w:rsid w:val="00684A2E"/>
    <w:rsid w:val="00687A64"/>
    <w:rsid w:val="00692F46"/>
    <w:rsid w:val="006C12F1"/>
    <w:rsid w:val="006C409A"/>
    <w:rsid w:val="006C6475"/>
    <w:rsid w:val="006C6E88"/>
    <w:rsid w:val="006D3395"/>
    <w:rsid w:val="006D566D"/>
    <w:rsid w:val="006E3AE9"/>
    <w:rsid w:val="006F4CE9"/>
    <w:rsid w:val="006F6276"/>
    <w:rsid w:val="00703C4F"/>
    <w:rsid w:val="00713E72"/>
    <w:rsid w:val="0071482C"/>
    <w:rsid w:val="00721AE3"/>
    <w:rsid w:val="00721BDB"/>
    <w:rsid w:val="00744F56"/>
    <w:rsid w:val="007526E9"/>
    <w:rsid w:val="007707E9"/>
    <w:rsid w:val="00787A03"/>
    <w:rsid w:val="007A012E"/>
    <w:rsid w:val="007A1C12"/>
    <w:rsid w:val="007B449D"/>
    <w:rsid w:val="007C59E7"/>
    <w:rsid w:val="007C7AB0"/>
    <w:rsid w:val="007C7D94"/>
    <w:rsid w:val="007D6C62"/>
    <w:rsid w:val="007F41B4"/>
    <w:rsid w:val="00803254"/>
    <w:rsid w:val="008040DC"/>
    <w:rsid w:val="0081055F"/>
    <w:rsid w:val="00815B06"/>
    <w:rsid w:val="00816747"/>
    <w:rsid w:val="00817689"/>
    <w:rsid w:val="00821C7A"/>
    <w:rsid w:val="00830CB4"/>
    <w:rsid w:val="0083439F"/>
    <w:rsid w:val="00843948"/>
    <w:rsid w:val="00847E1A"/>
    <w:rsid w:val="00852089"/>
    <w:rsid w:val="00865475"/>
    <w:rsid w:val="00870912"/>
    <w:rsid w:val="00877B20"/>
    <w:rsid w:val="008860B3"/>
    <w:rsid w:val="008879D3"/>
    <w:rsid w:val="008918C0"/>
    <w:rsid w:val="008A0804"/>
    <w:rsid w:val="008A49AB"/>
    <w:rsid w:val="008B1D87"/>
    <w:rsid w:val="008D1B96"/>
    <w:rsid w:val="008E31E3"/>
    <w:rsid w:val="009213F7"/>
    <w:rsid w:val="00954EE4"/>
    <w:rsid w:val="00957139"/>
    <w:rsid w:val="00971AC1"/>
    <w:rsid w:val="0098238A"/>
    <w:rsid w:val="0099118F"/>
    <w:rsid w:val="009A604F"/>
    <w:rsid w:val="009A7C71"/>
    <w:rsid w:val="009D33C6"/>
    <w:rsid w:val="009D51A3"/>
    <w:rsid w:val="009E6893"/>
    <w:rsid w:val="009E74C6"/>
    <w:rsid w:val="009F13E8"/>
    <w:rsid w:val="009F252A"/>
    <w:rsid w:val="009F256A"/>
    <w:rsid w:val="009F3F99"/>
    <w:rsid w:val="00A006C7"/>
    <w:rsid w:val="00A12E01"/>
    <w:rsid w:val="00A14ABC"/>
    <w:rsid w:val="00A25582"/>
    <w:rsid w:val="00A335EE"/>
    <w:rsid w:val="00A35548"/>
    <w:rsid w:val="00A42EE7"/>
    <w:rsid w:val="00A43878"/>
    <w:rsid w:val="00A66DC9"/>
    <w:rsid w:val="00A95321"/>
    <w:rsid w:val="00AA60E2"/>
    <w:rsid w:val="00AB4BAA"/>
    <w:rsid w:val="00AB70E8"/>
    <w:rsid w:val="00AC222B"/>
    <w:rsid w:val="00AE039E"/>
    <w:rsid w:val="00AE2426"/>
    <w:rsid w:val="00AE2577"/>
    <w:rsid w:val="00AF0B89"/>
    <w:rsid w:val="00AF3BE5"/>
    <w:rsid w:val="00AF6F10"/>
    <w:rsid w:val="00B17D21"/>
    <w:rsid w:val="00B208A3"/>
    <w:rsid w:val="00B25EB7"/>
    <w:rsid w:val="00B26629"/>
    <w:rsid w:val="00B30291"/>
    <w:rsid w:val="00B313B4"/>
    <w:rsid w:val="00B32B96"/>
    <w:rsid w:val="00B363F6"/>
    <w:rsid w:val="00B41F26"/>
    <w:rsid w:val="00B44076"/>
    <w:rsid w:val="00B454E6"/>
    <w:rsid w:val="00B46400"/>
    <w:rsid w:val="00B47A48"/>
    <w:rsid w:val="00B518C4"/>
    <w:rsid w:val="00B67B6B"/>
    <w:rsid w:val="00B71E45"/>
    <w:rsid w:val="00B75940"/>
    <w:rsid w:val="00B771A4"/>
    <w:rsid w:val="00B823E0"/>
    <w:rsid w:val="00B827E6"/>
    <w:rsid w:val="00B85155"/>
    <w:rsid w:val="00B871F5"/>
    <w:rsid w:val="00B8786E"/>
    <w:rsid w:val="00B87E8A"/>
    <w:rsid w:val="00B91CF2"/>
    <w:rsid w:val="00B91D17"/>
    <w:rsid w:val="00B94E63"/>
    <w:rsid w:val="00BA0FB0"/>
    <w:rsid w:val="00BB0823"/>
    <w:rsid w:val="00BC237B"/>
    <w:rsid w:val="00BC30B9"/>
    <w:rsid w:val="00BC682C"/>
    <w:rsid w:val="00BD04A9"/>
    <w:rsid w:val="00BD7E8A"/>
    <w:rsid w:val="00BE1713"/>
    <w:rsid w:val="00BE192E"/>
    <w:rsid w:val="00BE3C22"/>
    <w:rsid w:val="00C03764"/>
    <w:rsid w:val="00C056DC"/>
    <w:rsid w:val="00C20DA0"/>
    <w:rsid w:val="00C32E40"/>
    <w:rsid w:val="00C42293"/>
    <w:rsid w:val="00C617DD"/>
    <w:rsid w:val="00C66CA9"/>
    <w:rsid w:val="00C77AEE"/>
    <w:rsid w:val="00C850F5"/>
    <w:rsid w:val="00C85DE2"/>
    <w:rsid w:val="00C9180C"/>
    <w:rsid w:val="00C93C77"/>
    <w:rsid w:val="00C97197"/>
    <w:rsid w:val="00CA4F57"/>
    <w:rsid w:val="00CB5278"/>
    <w:rsid w:val="00CB78D4"/>
    <w:rsid w:val="00CB7F3F"/>
    <w:rsid w:val="00CC2D0F"/>
    <w:rsid w:val="00CD3400"/>
    <w:rsid w:val="00CD3A58"/>
    <w:rsid w:val="00CD67A5"/>
    <w:rsid w:val="00CD7661"/>
    <w:rsid w:val="00CE304B"/>
    <w:rsid w:val="00CF4076"/>
    <w:rsid w:val="00D029C7"/>
    <w:rsid w:val="00D045AC"/>
    <w:rsid w:val="00D36437"/>
    <w:rsid w:val="00D54247"/>
    <w:rsid w:val="00D67DB7"/>
    <w:rsid w:val="00D71E86"/>
    <w:rsid w:val="00D75B98"/>
    <w:rsid w:val="00D8052B"/>
    <w:rsid w:val="00D82AB1"/>
    <w:rsid w:val="00DA2188"/>
    <w:rsid w:val="00DB463F"/>
    <w:rsid w:val="00DC0D97"/>
    <w:rsid w:val="00DC36D9"/>
    <w:rsid w:val="00DC3D16"/>
    <w:rsid w:val="00DC6240"/>
    <w:rsid w:val="00DC7D4A"/>
    <w:rsid w:val="00DD1191"/>
    <w:rsid w:val="00DD2DA5"/>
    <w:rsid w:val="00DE35DE"/>
    <w:rsid w:val="00DF1FC9"/>
    <w:rsid w:val="00DF53A6"/>
    <w:rsid w:val="00E031DC"/>
    <w:rsid w:val="00E121A8"/>
    <w:rsid w:val="00E21744"/>
    <w:rsid w:val="00E303D2"/>
    <w:rsid w:val="00E33933"/>
    <w:rsid w:val="00E3630B"/>
    <w:rsid w:val="00E40350"/>
    <w:rsid w:val="00E4208D"/>
    <w:rsid w:val="00E435C2"/>
    <w:rsid w:val="00E44F8B"/>
    <w:rsid w:val="00E5592F"/>
    <w:rsid w:val="00E5636E"/>
    <w:rsid w:val="00E577A8"/>
    <w:rsid w:val="00E74E4D"/>
    <w:rsid w:val="00EA6AD0"/>
    <w:rsid w:val="00EB1168"/>
    <w:rsid w:val="00EB1AA6"/>
    <w:rsid w:val="00EC55CC"/>
    <w:rsid w:val="00EC5F38"/>
    <w:rsid w:val="00EC6626"/>
    <w:rsid w:val="00EC7E74"/>
    <w:rsid w:val="00ED13CA"/>
    <w:rsid w:val="00F170A0"/>
    <w:rsid w:val="00F24793"/>
    <w:rsid w:val="00F2659F"/>
    <w:rsid w:val="00F26FB3"/>
    <w:rsid w:val="00F27E88"/>
    <w:rsid w:val="00F374D7"/>
    <w:rsid w:val="00F42496"/>
    <w:rsid w:val="00F53C3B"/>
    <w:rsid w:val="00F641DB"/>
    <w:rsid w:val="00F76273"/>
    <w:rsid w:val="00FD7E8A"/>
    <w:rsid w:val="00FE0A34"/>
    <w:rsid w:val="00FE12C9"/>
    <w:rsid w:val="00FF0B23"/>
    <w:rsid w:val="00FF5D5C"/>
    <w:rsid w:val="26950920"/>
    <w:rsid w:val="3EF71980"/>
    <w:rsid w:val="438C4EC8"/>
    <w:rsid w:val="5D6366C8"/>
    <w:rsid w:val="6CE63F4A"/>
    <w:rsid w:val="6D9650F5"/>
    <w:rsid w:val="788D2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autoRedefine/>
    <w:unhideWhenUsed/>
    <w:qFormat/>
    <w:uiPriority w:val="99"/>
    <w:pPr>
      <w:jc w:val="left"/>
    </w:pPr>
  </w:style>
  <w:style w:type="paragraph" w:styleId="3">
    <w:name w:val="Balloon Text"/>
    <w:basedOn w:val="1"/>
    <w:link w:val="24"/>
    <w:autoRedefine/>
    <w:semiHidden/>
    <w:unhideWhenUsed/>
    <w:qFormat/>
    <w:uiPriority w:val="99"/>
    <w:rPr>
      <w:sz w:val="18"/>
      <w:szCs w:val="18"/>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1"/>
    <w:autoRedefine/>
    <w:semiHidden/>
    <w:unhideWhenUsed/>
    <w:qFormat/>
    <w:uiPriority w:val="99"/>
    <w:rPr>
      <w:b/>
      <w:bCs/>
    </w:rPr>
  </w:style>
  <w:style w:type="character" w:styleId="9">
    <w:name w:val="annotation reference"/>
    <w:basedOn w:val="8"/>
    <w:autoRedefine/>
    <w:semiHidden/>
    <w:unhideWhenUsed/>
    <w:qFormat/>
    <w:uiPriority w:val="99"/>
    <w:rPr>
      <w:sz w:val="21"/>
      <w:szCs w:val="21"/>
    </w:rPr>
  </w:style>
  <w:style w:type="character" w:customStyle="1" w:styleId="10">
    <w:name w:val="页眉 Char"/>
    <w:basedOn w:val="8"/>
    <w:link w:val="5"/>
    <w:autoRedefine/>
    <w:qFormat/>
    <w:uiPriority w:val="99"/>
    <w:rPr>
      <w:sz w:val="18"/>
      <w:szCs w:val="18"/>
    </w:rPr>
  </w:style>
  <w:style w:type="character" w:customStyle="1" w:styleId="11">
    <w:name w:val="页脚 Char"/>
    <w:basedOn w:val="8"/>
    <w:link w:val="4"/>
    <w:autoRedefine/>
    <w:qFormat/>
    <w:uiPriority w:val="99"/>
    <w:rPr>
      <w:sz w:val="18"/>
      <w:szCs w:val="18"/>
    </w:rPr>
  </w:style>
  <w:style w:type="paragraph" w:customStyle="1" w:styleId="12">
    <w:name w:val="列出段落1"/>
    <w:basedOn w:val="1"/>
    <w:autoRedefine/>
    <w:qFormat/>
    <w:uiPriority w:val="99"/>
    <w:pPr>
      <w:ind w:firstLine="420" w:firstLineChars="200"/>
    </w:pPr>
    <w:rPr>
      <w:rFonts w:ascii="Times New Roman" w:hAnsi="Times New Roman" w:eastAsia="宋体" w:cs="Times New Roman"/>
      <w:szCs w:val="21"/>
    </w:rPr>
  </w:style>
  <w:style w:type="paragraph" w:customStyle="1" w:styleId="13">
    <w:name w:val="一级条标题"/>
    <w:next w:val="1"/>
    <w:autoRedefine/>
    <w:qFormat/>
    <w:uiPriority w:val="0"/>
    <w:pPr>
      <w:spacing w:beforeLines="50" w:afterLines="50"/>
      <w:ind w:left="1320" w:hanging="420"/>
      <w:outlineLvl w:val="2"/>
    </w:pPr>
    <w:rPr>
      <w:rFonts w:ascii="黑体" w:hAnsi="Times New Roman" w:eastAsia="黑体" w:cs="Times New Roman"/>
      <w:sz w:val="21"/>
      <w:szCs w:val="21"/>
      <w:lang w:val="en-US" w:eastAsia="zh-CN" w:bidi="ar-SA"/>
    </w:rPr>
  </w:style>
  <w:style w:type="paragraph" w:customStyle="1" w:styleId="14">
    <w:name w:val="段"/>
    <w:link w:val="15"/>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5">
    <w:name w:val="段 Char"/>
    <w:link w:val="14"/>
    <w:autoRedefine/>
    <w:qFormat/>
    <w:uiPriority w:val="0"/>
    <w:rPr>
      <w:rFonts w:ascii="宋体" w:hAnsi="Times New Roman" w:eastAsia="宋体" w:cs="Times New Roman"/>
      <w:kern w:val="0"/>
      <w:szCs w:val="20"/>
    </w:rPr>
  </w:style>
  <w:style w:type="paragraph" w:customStyle="1" w:styleId="16">
    <w:name w:val="二级条标题"/>
    <w:basedOn w:val="13"/>
    <w:next w:val="14"/>
    <w:autoRedefine/>
    <w:qFormat/>
    <w:uiPriority w:val="0"/>
    <w:pPr>
      <w:numPr>
        <w:ilvl w:val="2"/>
        <w:numId w:val="1"/>
      </w:numPr>
      <w:spacing w:before="50" w:after="50"/>
      <w:outlineLvl w:val="3"/>
    </w:pPr>
  </w:style>
  <w:style w:type="paragraph" w:customStyle="1" w:styleId="17">
    <w:name w:val="章标题"/>
    <w:next w:val="14"/>
    <w:autoRedefine/>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8">
    <w:name w:val="三级条标题"/>
    <w:basedOn w:val="16"/>
    <w:next w:val="14"/>
    <w:autoRedefine/>
    <w:qFormat/>
    <w:uiPriority w:val="0"/>
    <w:pPr>
      <w:numPr>
        <w:ilvl w:val="3"/>
      </w:numPr>
      <w:outlineLvl w:val="4"/>
    </w:pPr>
  </w:style>
  <w:style w:type="paragraph" w:customStyle="1" w:styleId="19">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
    <w:name w:val="批注文字 Char"/>
    <w:basedOn w:val="8"/>
    <w:link w:val="2"/>
    <w:autoRedefine/>
    <w:qFormat/>
    <w:uiPriority w:val="99"/>
    <w:rPr>
      <w:kern w:val="2"/>
      <w:sz w:val="21"/>
      <w:szCs w:val="22"/>
    </w:rPr>
  </w:style>
  <w:style w:type="character" w:customStyle="1" w:styleId="21">
    <w:name w:val="批注主题 Char"/>
    <w:basedOn w:val="20"/>
    <w:link w:val="6"/>
    <w:autoRedefine/>
    <w:semiHidden/>
    <w:qFormat/>
    <w:uiPriority w:val="99"/>
    <w:rPr>
      <w:b/>
      <w:bCs/>
      <w:kern w:val="2"/>
      <w:sz w:val="21"/>
      <w:szCs w:val="22"/>
    </w:rPr>
  </w:style>
  <w:style w:type="paragraph" w:customStyle="1" w:styleId="22">
    <w:name w:val="标准文件_段"/>
    <w:link w:val="23"/>
    <w:autoRedefine/>
    <w:qFormat/>
    <w:uiPriority w:val="99"/>
    <w:pPr>
      <w:autoSpaceDE w:val="0"/>
      <w:autoSpaceDN w:val="0"/>
      <w:ind w:firstLine="200" w:firstLineChars="200"/>
      <w:jc w:val="both"/>
    </w:pPr>
    <w:rPr>
      <w:rFonts w:ascii="宋体" w:hAnsi="Times New Roman" w:eastAsia="宋体" w:cs="宋体"/>
      <w:sz w:val="21"/>
      <w:szCs w:val="21"/>
      <w:lang w:val="en-US" w:eastAsia="zh-CN" w:bidi="ar-SA"/>
    </w:rPr>
  </w:style>
  <w:style w:type="character" w:customStyle="1" w:styleId="23">
    <w:name w:val="标准文件_段 Char"/>
    <w:link w:val="22"/>
    <w:autoRedefine/>
    <w:qFormat/>
    <w:locked/>
    <w:uiPriority w:val="99"/>
    <w:rPr>
      <w:rFonts w:ascii="宋体" w:hAnsi="Times New Roman" w:eastAsia="宋体" w:cs="宋体"/>
      <w:sz w:val="21"/>
      <w:szCs w:val="21"/>
    </w:rPr>
  </w:style>
  <w:style w:type="character" w:customStyle="1" w:styleId="24">
    <w:name w:val="批注框文本 Char"/>
    <w:basedOn w:val="8"/>
    <w:link w:val="3"/>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664</Words>
  <Characters>3786</Characters>
  <Lines>31</Lines>
  <Paragraphs>8</Paragraphs>
  <TotalTime>20</TotalTime>
  <ScaleCrop>false</ScaleCrop>
  <LinksUpToDate>false</LinksUpToDate>
  <CharactersWithSpaces>4442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2023-03-01T05:19:00Z</dcterms:created>
  <dc:creator>Administrator</dc:creator>
  <cp:lastModifiedBy>宋晓</cp:lastModifiedBy>
  <dcterms:modified xsi:type="dcterms:W3CDTF">2024-01-30T08:14:08Z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72EDDACA006440AABF9334F22EE9C122</vt:lpwstr>
  </property>
  <property fmtid="{D5CDD505-2E9C-101B-9397-08002B2CF9AE}" pid="4" name="GrammarlyDocumentId">
    <vt:lpwstr>96bad739ced875358482e9efcf2d3a1ad3ed1361bb563e15cfdc4ffb10feb6e3</vt:lpwstr>
  </property>
</Properties>
</file>