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1805FF">
      <w:pPr>
        <w:pStyle w:val="10"/>
        <w:spacing w:before="156" w:beforeLines="50" w:after="156" w:afterLines="50" w:line="400" w:lineRule="atLeast"/>
        <w:ind w:firstLine="0" w:firstLineChars="0"/>
        <w:contextualSpacing/>
        <w:rPr>
          <w:rFonts w:hint="eastAsia" w:ascii="黑体" w:hAnsi="黑体" w:eastAsia="黑体" w:cs="宋体"/>
          <w:sz w:val="44"/>
          <w:szCs w:val="44"/>
        </w:rPr>
      </w:pPr>
    </w:p>
    <w:p w14:paraId="71D863F0">
      <w:pPr>
        <w:pStyle w:val="10"/>
        <w:spacing w:before="156" w:beforeLines="50" w:after="156" w:afterLines="50" w:line="400" w:lineRule="atLeast"/>
        <w:ind w:left="357" w:firstLine="0" w:firstLineChars="0"/>
        <w:contextualSpacing/>
        <w:jc w:val="distribute"/>
        <w:rPr>
          <w:rFonts w:ascii="黑体" w:hAnsi="黑体" w:eastAsia="黑体" w:cs="宋体"/>
          <w:sz w:val="48"/>
          <w:szCs w:val="48"/>
        </w:rPr>
      </w:pPr>
      <w:r>
        <w:rPr>
          <w:rFonts w:hint="eastAsia" w:ascii="黑体" w:hAnsi="黑体" w:eastAsia="黑体" w:cs="宋体"/>
          <w:sz w:val="48"/>
          <w:szCs w:val="48"/>
        </w:rPr>
        <w:t>绿色食品生产操作规程</w:t>
      </w:r>
    </w:p>
    <w:p w14:paraId="1F348F84">
      <w:pPr>
        <w:pStyle w:val="10"/>
        <w:spacing w:before="156" w:beforeLines="50" w:after="156" w:afterLines="50" w:line="400" w:lineRule="atLeast"/>
        <w:ind w:left="357" w:firstLine="0" w:firstLineChars="0"/>
        <w:contextualSpacing/>
        <w:jc w:val="right"/>
        <w:rPr>
          <w:rFonts w:ascii="黑体" w:hAnsi="黑体" w:eastAsia="黑体" w:cs="宋体"/>
          <w:sz w:val="28"/>
          <w:szCs w:val="28"/>
        </w:rPr>
      </w:pPr>
      <w:r>
        <w:rPr>
          <w:rFonts w:eastAsia="黑体"/>
          <w:sz w:val="28"/>
          <w:szCs w:val="28"/>
        </w:rPr>
        <w:t>LB/T</w:t>
      </w:r>
      <w:r>
        <w:rPr>
          <w:rFonts w:hint="eastAsia" w:ascii="黑体" w:hAnsi="黑体" w:eastAsia="黑体" w:cs="宋体"/>
          <w:sz w:val="28"/>
          <w:szCs w:val="28"/>
        </w:rPr>
        <w:t xml:space="preserve"> 342</w:t>
      </w:r>
      <w:r>
        <w:rPr>
          <w:rFonts w:ascii="黑体" w:hAnsi="黑体" w:eastAsia="黑体" w:cs="宋体"/>
          <w:sz w:val="28"/>
          <w:szCs w:val="28"/>
        </w:rPr>
        <w:t>-2025</w:t>
      </w:r>
    </w:p>
    <w:p w14:paraId="50B680D7">
      <w:pPr>
        <w:pStyle w:val="10"/>
        <w:spacing w:before="156" w:beforeLines="50" w:after="156" w:afterLines="50" w:line="400" w:lineRule="atLeast"/>
        <w:ind w:left="357" w:firstLine="0" w:firstLineChars="0"/>
        <w:contextualSpacing/>
        <w:jc w:val="right"/>
        <w:rPr>
          <w:rFonts w:ascii="黑体" w:hAnsi="黑体" w:eastAsia="黑体" w:cs="宋体"/>
          <w:sz w:val="28"/>
          <w:szCs w:val="28"/>
        </w:rPr>
      </w:pPr>
      <w:r>
        <w:rPr>
          <w:rFonts w:ascii="黑体" w:hAnsi="黑体" w:eastAsia="黑体" w:cs="宋体"/>
          <w:sz w:val="28"/>
          <w:szCs w:val="28"/>
        </w:rPr>
        <mc:AlternateContent>
          <mc:Choice Requires="wps">
            <w:drawing>
              <wp:anchor distT="0" distB="0" distL="114300" distR="114300" simplePos="0" relativeHeight="251661312" behindDoc="0" locked="0" layoutInCell="1" allowOverlap="1">
                <wp:simplePos x="0" y="0"/>
                <wp:positionH relativeFrom="column">
                  <wp:posOffset>160020</wp:posOffset>
                </wp:positionH>
                <wp:positionV relativeFrom="paragraph">
                  <wp:posOffset>76200</wp:posOffset>
                </wp:positionV>
                <wp:extent cx="5173980" cy="0"/>
                <wp:effectExtent l="0" t="4445" r="7620" b="5080"/>
                <wp:wrapNone/>
                <wp:docPr id="2" name="自选图形 3"/>
                <wp:cNvGraphicFramePr/>
                <a:graphic xmlns:a="http://schemas.openxmlformats.org/drawingml/2006/main">
                  <a:graphicData uri="http://schemas.microsoft.com/office/word/2010/wordprocessingShape">
                    <wps:wsp>
                      <wps:cNvCnPr/>
                      <wps:spPr>
                        <a:xfrm>
                          <a:off x="0" y="0"/>
                          <a:ext cx="517398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 o:spid="_x0000_s1026" o:spt="32" type="#_x0000_t32" style="position:absolute;left:0pt;margin-left:12.6pt;margin-top:6pt;height:0pt;width:407.4pt;z-index:251661312;mso-width-relative:page;mso-height-relative:page;" filled="f" stroked="t" coordsize="21600,21600"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BdeCvl9QEAAOMDAAAOAAAAZHJzL2Uyb0RvYy54bWytU72OEzEQ&#10;7pF4B8s92SSnwN0qmysSjgZBJOABJrY3a8l/8viySUeHeAY6St4B3uYkeAvG3lwOjiYFW3jHnplv&#10;5vs8nl/vrWE7FVF71/DJaMyZcsJL7bYN//D+5tklZ5jASTDeqYYfFPLrxdMn8z7Uauo7b6SKjEAc&#10;1n1oeJdSqKsKRacs4MgH5cjZ+mgh0TZuKxmhJ3Rrqul4/LzqfZQheqEQ6XQ1OPkRMZ4D6NtWC7Xy&#10;4tYqlwbUqAwkooSdDsgXpdu2VSK9bVtUiZmGE9NUVipC9iav1WIO9TZC6LQ4tgDntPCIkwXtqOgJ&#10;agUJ2G3U/0BZLaJH36aR8LYaiBRFiMVk/Eibdx0EVbiQ1BhOouP/gxVvduvItGz4lDMHli7856dv&#10;vz5+vvvy4+77V3aRFeoD1hS4dOt43GFYx0x330ab/0SE7Yuqh5Oqap+YoMPZ5MXF1SUJLu591UNi&#10;iJheKW9ZNhqOKYLedmnpnaO783FSVIXda0xUmhLvE3JV41jf8KvZdEbgQLPY0gyQaQPxQbctueiN&#10;ljfamJyBcbtZmsh2kOehfJkg4f4VlousALshrriGSekUyJdOsnQIpJSjB8JzC1ZJzoyi95QtAoQ6&#10;gTbnRFJp46iDrPGgarY2Xh6K2OWc7r70eJzTPFx/7kv2w9tc/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OGt9A1AAAAAgBAAAPAAAAAAAAAAEAIAAAACIAAABkcnMvZG93bnJldi54bWxQSwECFAAU&#10;AAAACACHTuJAXXgr5fUBAADjAwAADgAAAAAAAAABACAAAAAjAQAAZHJzL2Uyb0RvYy54bWxQSwUG&#10;AAAAAAYABgBZAQAAigUAAAAA&#10;">
                <v:fill on="f" focussize="0,0"/>
                <v:stroke color="#000000" joinstyle="round"/>
                <v:imagedata o:title=""/>
                <o:lock v:ext="edit" aspectratio="f"/>
              </v:shape>
            </w:pict>
          </mc:Fallback>
        </mc:AlternateContent>
      </w:r>
    </w:p>
    <w:p w14:paraId="0591931A">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48A44569">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6C8621CA">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0CA47DC6">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7387806A">
      <w:pPr>
        <w:pStyle w:val="10"/>
        <w:spacing w:before="156" w:beforeLines="50" w:after="156" w:afterLines="50" w:line="360" w:lineRule="auto"/>
        <w:ind w:left="357" w:firstLine="0" w:firstLineChars="0"/>
        <w:contextualSpacing/>
        <w:jc w:val="center"/>
        <w:rPr>
          <w:rFonts w:ascii="黑体" w:hAnsi="黑体" w:eastAsia="黑体" w:cs="宋体"/>
          <w:sz w:val="48"/>
          <w:szCs w:val="48"/>
        </w:rPr>
      </w:pPr>
      <w:r>
        <w:rPr>
          <w:rFonts w:hint="eastAsia" w:ascii="黑体" w:hAnsi="黑体" w:eastAsia="黑体" w:cs="宋体"/>
          <w:sz w:val="48"/>
          <w:szCs w:val="48"/>
        </w:rPr>
        <w:t>北方地区</w:t>
      </w:r>
    </w:p>
    <w:p w14:paraId="323B0258">
      <w:pPr>
        <w:pStyle w:val="10"/>
        <w:spacing w:before="156" w:beforeLines="50" w:after="156" w:afterLines="50" w:line="360" w:lineRule="auto"/>
        <w:ind w:left="357" w:firstLine="0" w:firstLineChars="0"/>
        <w:contextualSpacing/>
        <w:jc w:val="center"/>
        <w:rPr>
          <w:rFonts w:ascii="黑体" w:hAnsi="黑体" w:eastAsia="黑体" w:cs="宋体"/>
          <w:sz w:val="18"/>
          <w:szCs w:val="18"/>
        </w:rPr>
      </w:pPr>
    </w:p>
    <w:p w14:paraId="37EB44D5">
      <w:pPr>
        <w:pStyle w:val="10"/>
        <w:spacing w:before="156" w:beforeLines="50" w:after="156" w:afterLines="50" w:line="360" w:lineRule="auto"/>
        <w:ind w:left="357" w:firstLine="0" w:firstLineChars="0"/>
        <w:contextualSpacing/>
        <w:jc w:val="center"/>
        <w:rPr>
          <w:rFonts w:ascii="黑体" w:hAnsi="黑体" w:eastAsia="黑体" w:cs="宋体"/>
          <w:sz w:val="48"/>
          <w:szCs w:val="48"/>
        </w:rPr>
      </w:pPr>
      <w:r>
        <w:rPr>
          <w:rFonts w:hint="eastAsia" w:ascii="黑体" w:hAnsi="黑体" w:eastAsia="黑体"/>
          <w:sz w:val="48"/>
          <w:szCs w:val="48"/>
        </w:rPr>
        <w:t>绿色食品</w:t>
      </w:r>
      <w:r>
        <w:rPr>
          <w:rFonts w:hint="eastAsia" w:ascii="黑体" w:hAnsi="黑体" w:eastAsia="黑体" w:cs="宋体"/>
          <w:sz w:val="48"/>
          <w:szCs w:val="48"/>
        </w:rPr>
        <w:t>露地丝瓜</w:t>
      </w:r>
      <w:r>
        <w:rPr>
          <w:rFonts w:hint="eastAsia" w:ascii="黑体" w:hAnsi="黑体" w:eastAsia="黑体"/>
          <w:sz w:val="48"/>
          <w:szCs w:val="48"/>
        </w:rPr>
        <w:t>生产操作规程</w:t>
      </w:r>
    </w:p>
    <w:p w14:paraId="4D6681D2">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19948E70">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2BCCE650">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7B15A404">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4C402ED7">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58F90B5D">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051BB532">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63CC7958">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3F6A49E4">
      <w:pPr>
        <w:pStyle w:val="10"/>
        <w:spacing w:before="156" w:beforeLines="50" w:after="156" w:afterLines="50" w:line="400" w:lineRule="atLeast"/>
        <w:ind w:left="357" w:firstLine="0" w:firstLineChars="0"/>
        <w:contextualSpacing/>
        <w:jc w:val="left"/>
        <w:rPr>
          <w:rFonts w:ascii="黑体" w:hAnsi="黑体" w:eastAsia="黑体" w:cs="宋体"/>
          <w:sz w:val="28"/>
          <w:szCs w:val="28"/>
        </w:rPr>
      </w:pPr>
      <w:r>
        <w:rPr>
          <w:rFonts w:hint="eastAsia" w:ascii="黑体" w:hAnsi="黑体" w:eastAsia="黑体" w:cs="宋体"/>
          <w:sz w:val="28"/>
          <w:szCs w:val="28"/>
        </w:rPr>
        <w:t>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 xml:space="preserve">发布        </w:t>
      </w:r>
      <w:r>
        <w:rPr>
          <w:rFonts w:hint="eastAsia" w:ascii="黑体" w:hAnsi="黑体" w:eastAsia="黑体" w:cs="宋体"/>
          <w:sz w:val="28"/>
          <w:szCs w:val="28"/>
          <w:lang w:val="en-US" w:eastAsia="zh-CN"/>
        </w:rPr>
        <w:t xml:space="preserve">       </w:t>
      </w:r>
      <w:bookmarkStart w:id="0" w:name="_GoBack"/>
      <w:bookmarkEnd w:id="0"/>
      <w:r>
        <w:rPr>
          <w:rFonts w:hint="eastAsia" w:ascii="黑体" w:hAnsi="黑体" w:eastAsia="黑体" w:cs="宋体"/>
          <w:sz w:val="28"/>
          <w:szCs w:val="28"/>
        </w:rPr>
        <w:t xml:space="preserve"> </w:t>
      </w:r>
      <w:r>
        <w:rPr>
          <w:rFonts w:ascii="黑体" w:hAnsi="黑体" w:eastAsia="黑体" w:cs="宋体"/>
          <w:sz w:val="28"/>
          <w:szCs w:val="28"/>
        </w:rPr>
        <w:t xml:space="preserve">   </w:t>
      </w:r>
      <w:r>
        <w:rPr>
          <w:rFonts w:hint="eastAsia" w:ascii="黑体" w:hAnsi="黑体" w:eastAsia="黑体" w:cs="宋体"/>
          <w:sz w:val="28"/>
          <w:szCs w:val="28"/>
        </w:rPr>
        <w:t xml:space="preserve">     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实施</w:t>
      </w:r>
    </w:p>
    <w:p w14:paraId="11148932">
      <w:pPr>
        <w:pStyle w:val="10"/>
        <w:spacing w:before="156" w:beforeLines="50" w:after="156" w:afterLines="50" w:line="400" w:lineRule="atLeast"/>
        <w:ind w:left="357" w:firstLine="0" w:firstLineChars="0"/>
        <w:contextualSpacing/>
        <w:jc w:val="left"/>
        <w:rPr>
          <w:rFonts w:ascii="黑体" w:hAnsi="黑体" w:eastAsia="黑体" w:cs="宋体"/>
          <w:sz w:val="24"/>
          <w:szCs w:val="24"/>
        </w:rPr>
      </w:pPr>
      <w:r>
        <w:rPr>
          <w:rFonts w:ascii="黑体" w:hAnsi="黑体" w:eastAsia="黑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114300</wp:posOffset>
                </wp:positionV>
                <wp:extent cx="4853940" cy="15240"/>
                <wp:effectExtent l="0" t="0" r="22860" b="22860"/>
                <wp:wrapNone/>
                <wp:docPr id="1" name="自选图形 2"/>
                <wp:cNvGraphicFramePr/>
                <a:graphic xmlns:a="http://schemas.openxmlformats.org/drawingml/2006/main">
                  <a:graphicData uri="http://schemas.microsoft.com/office/word/2010/wordprocessingShape">
                    <wps:wsp>
                      <wps:cNvCnPr/>
                      <wps:spPr>
                        <a:xfrm>
                          <a:off x="0" y="0"/>
                          <a:ext cx="4853940" cy="152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9pt;margin-top:9pt;height:1.2pt;width:382.2pt;z-index:251660288;mso-width-relative:page;mso-height-relative:page;" filled="f" stroked="t" coordsize="21600,21600" o:gfxdata="UEsDBAoAAAAAAIdO4kAAAAAAAAAAAAAAAAAEAAAAZHJzL1BLAwQUAAAACACHTuJAXuktgNYAAAAI&#10;AQAADwAAAGRycy9kb3ducmV2LnhtbE2PQUvDQBCF70L/wzIFL9LuJlRNYzalFDx4tC143WbHJJqd&#10;DdlNU/vrHUHQ0/B4jzffKzYX14kzDqH1pCFZKhBIlbct1RqOh+dFBiJEQ9Z0nlDDFwbYlLObwuTW&#10;T/SK532sBZdQyI2GJsY+lzJUDToTlr5HYu/dD85ElkMt7WAmLnedTJV6kM60xB8a0+OuwepzPzoN&#10;GMb7RG3Xrj6+XKe7t/T6MfUHrW/niXoCEfES/8Lwg8/oUDLTyY9kg+hYZzwl/l72H7N0BeKkIVUr&#10;kGUh/w8ovwFQSwMEFAAAAAgAh07iQD/TAeX3AQAA5wMAAA4AAABkcnMvZTJvRG9jLnhtbK1TzY7T&#10;MBC+I/EOlu80bdmi3ajpHlqWC4JKwANMHSex5D95vE1744Z4Bm4ceQd4m5WWt2DshC4slx7IwRl7&#10;Zr6Z7/N4eX0wmu1lQOVsxWeTKWfSClcr21b8w/ubZ5ecYQRbg3ZWVvwokV+vnj5Z9r6Uc9c5XcvA&#10;CMRi2fuKdzH6sihQdNIATpyXlpyNCwYibUNb1AF6Qje6mE+nL4rehdoHJyQinW4GJx8RwzmArmmU&#10;kBsnbo20cUANUkMkStgpj3yVu20aKeLbpkEZma44MY15pSJk79JarJZQtgF8p8TYApzTwiNOBpSl&#10;oieoDURgt0H9A2WUCA5dEyfCmWIgkhUhFrPpI23edeBl5kJSoz+Jjv8PVrzZbwNTNU0CZxYMXfj9&#10;p28/P36++/Lj7vtXNk8K9R5LClzbbRh36Lch0T00waQ/EWGHrOrxpKo8RCbo8OJy8fzqggQX5Jst&#10;5mQSSvGQ7APGV9IZloyKYwyg2i6unbV0fy7MsrKwf41xSPydkCpry/qKXy3mCyoANI8NzQGZxhMn&#10;tG3ORadVfaO0ThkY2t1aB7aHNBP5Gxv6KywV2QB2Q1x2pTAoOwn1S1uzePSklqVHwlMLRtacaUlv&#10;Klk5MoLS50SSFtqSJEnnQdlk7Vx9zILnc7r/LNo4q2nA/tzn7If3ufo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uktgNYAAAAIAQAADwAAAAAAAAABACAAAAAiAAAAZHJzL2Rvd25yZXYueG1sUEsB&#10;AhQAFAAAAAgAh07iQD/TAeX3AQAA5wMAAA4AAAAAAAAAAQAgAAAAJQEAAGRycy9lMm9Eb2MueG1s&#10;UEsFBgAAAAAGAAYAWQEAAI4FAAAAAA==&#10;">
                <v:fill on="f" focussize="0,0"/>
                <v:stroke color="#000000" joinstyle="round"/>
                <v:imagedata o:title=""/>
                <o:lock v:ext="edit" aspectratio="f"/>
              </v:shape>
            </w:pict>
          </mc:Fallback>
        </mc:AlternateContent>
      </w:r>
    </w:p>
    <w:p w14:paraId="0927E1FB">
      <w:pPr>
        <w:pStyle w:val="10"/>
        <w:spacing w:before="156" w:beforeLines="50" w:after="156" w:afterLines="50" w:line="400" w:lineRule="atLeast"/>
        <w:ind w:left="357" w:firstLine="0" w:firstLineChars="0"/>
        <w:contextualSpacing/>
        <w:jc w:val="center"/>
        <w:rPr>
          <w:rFonts w:ascii="黑体" w:hAnsi="黑体" w:eastAsia="黑体" w:cs="宋体"/>
          <w:sz w:val="28"/>
          <w:szCs w:val="28"/>
        </w:rPr>
        <w:sectPr>
          <w:headerReference r:id="rId5" w:type="first"/>
          <w:headerReference r:id="rId3" w:type="default"/>
          <w:headerReference r:id="rId4" w:type="even"/>
          <w:pgSz w:w="11906" w:h="16838"/>
          <w:pgMar w:top="1440" w:right="1800" w:bottom="1440" w:left="1800" w:header="851" w:footer="992" w:gutter="0"/>
          <w:cols w:space="425" w:num="1"/>
          <w:docGrid w:type="lines" w:linePitch="312" w:charSpace="0"/>
        </w:sectPr>
      </w:pPr>
      <w:r>
        <w:rPr>
          <w:rFonts w:hint="eastAsia" w:ascii="华文中宋" w:hAnsi="华文中宋" w:eastAsia="华文中宋" w:cs="宋体"/>
          <w:spacing w:val="71"/>
          <w:kern w:val="0"/>
          <w:sz w:val="32"/>
          <w:szCs w:val="32"/>
          <w:fitText w:val="4480" w:id="1526356482"/>
        </w:rPr>
        <w:t>中国绿色食品发展中</w:t>
      </w:r>
      <w:r>
        <w:rPr>
          <w:rFonts w:hint="eastAsia" w:ascii="华文中宋" w:hAnsi="华文中宋" w:eastAsia="华文中宋" w:cs="宋体"/>
          <w:spacing w:val="1"/>
          <w:kern w:val="0"/>
          <w:sz w:val="32"/>
          <w:szCs w:val="32"/>
          <w:fitText w:val="4480" w:id="1526356482"/>
        </w:rPr>
        <w:t>心</w:t>
      </w:r>
      <w:r>
        <w:rPr>
          <w:rFonts w:hint="eastAsia" w:ascii="华文中宋" w:hAnsi="华文中宋" w:eastAsia="华文中宋" w:cs="宋体"/>
          <w:kern w:val="0"/>
          <w:sz w:val="32"/>
          <w:szCs w:val="32"/>
        </w:rPr>
        <w:t xml:space="preserve">  </w:t>
      </w:r>
      <w:r>
        <w:rPr>
          <w:rFonts w:hint="eastAsia" w:ascii="黑体" w:hAnsi="黑体" w:eastAsia="黑体" w:cs="宋体"/>
          <w:sz w:val="28"/>
          <w:szCs w:val="28"/>
        </w:rPr>
        <w:t>发 布</w:t>
      </w:r>
    </w:p>
    <w:p w14:paraId="082BBCA1">
      <w:pPr>
        <w:pStyle w:val="10"/>
        <w:spacing w:before="156" w:beforeLines="50" w:after="156" w:afterLines="50" w:line="400" w:lineRule="atLeast"/>
        <w:ind w:left="357" w:firstLine="0" w:firstLineChars="0"/>
        <w:contextualSpacing/>
        <w:jc w:val="center"/>
        <w:rPr>
          <w:rFonts w:cs="宋体" w:asciiTheme="minorEastAsia" w:hAnsiTheme="minorEastAsia" w:eastAsiaTheme="minorEastAsia"/>
          <w:sz w:val="28"/>
          <w:szCs w:val="28"/>
        </w:rPr>
      </w:pPr>
    </w:p>
    <w:p w14:paraId="32F04805">
      <w:pPr>
        <w:pStyle w:val="10"/>
        <w:spacing w:before="156" w:beforeLines="50" w:after="156" w:afterLines="50" w:line="400" w:lineRule="atLeast"/>
        <w:ind w:left="357" w:firstLine="0" w:firstLineChars="0"/>
        <w:contextualSpacing/>
        <w:jc w:val="center"/>
        <w:rPr>
          <w:rFonts w:cs="宋体" w:asciiTheme="minorEastAsia" w:hAnsiTheme="minorEastAsia" w:eastAsiaTheme="minorEastAsia"/>
          <w:sz w:val="28"/>
          <w:szCs w:val="28"/>
        </w:rPr>
      </w:pPr>
    </w:p>
    <w:p w14:paraId="6A611415">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r>
        <w:rPr>
          <w:rFonts w:hint="eastAsia" w:ascii="黑体" w:hAnsi="黑体" w:eastAsia="黑体" w:cs="宋体"/>
          <w:sz w:val="32"/>
          <w:szCs w:val="32"/>
        </w:rPr>
        <w:t>前 言</w:t>
      </w:r>
    </w:p>
    <w:p w14:paraId="5F53457E">
      <w:pPr>
        <w:pStyle w:val="10"/>
        <w:spacing w:before="156" w:beforeLines="50" w:after="156" w:afterLines="50" w:line="400" w:lineRule="atLeast"/>
        <w:ind w:firstLine="0" w:firstLineChars="0"/>
        <w:contextualSpacing/>
        <w:rPr>
          <w:rFonts w:ascii="黑体" w:hAnsi="黑体" w:eastAsia="黑体" w:cs="宋体"/>
          <w:sz w:val="32"/>
          <w:szCs w:val="32"/>
        </w:rPr>
      </w:pPr>
    </w:p>
    <w:p w14:paraId="0C53DF2E">
      <w:pPr>
        <w:pStyle w:val="10"/>
        <w:spacing w:before="156" w:beforeLines="50" w:after="156" w:afterLines="50" w:line="400" w:lineRule="atLeast"/>
        <w:contextualSpacing/>
        <w:jc w:val="left"/>
        <w:rPr>
          <w:rFonts w:ascii="宋体" w:hAnsi="宋体" w:cs="宋体"/>
        </w:rPr>
      </w:pPr>
      <w:r>
        <w:rPr>
          <w:rFonts w:hint="eastAsia" w:ascii="宋体" w:hAnsi="宋体" w:cs="宋体"/>
        </w:rPr>
        <w:t>本规程由中国绿色食品发展中心提出并归口。</w:t>
      </w:r>
    </w:p>
    <w:p w14:paraId="0A8A131F">
      <w:pPr>
        <w:pStyle w:val="10"/>
        <w:spacing w:before="156" w:beforeLines="50" w:after="156" w:afterLines="50" w:line="360" w:lineRule="exact"/>
        <w:contextualSpacing/>
        <w:jc w:val="left"/>
        <w:rPr>
          <w:rFonts w:ascii="宋体" w:hAnsi="宋体" w:cs="宋体"/>
        </w:rPr>
      </w:pPr>
      <w:r>
        <w:rPr>
          <w:rFonts w:hint="eastAsia" w:ascii="宋体" w:hAnsi="宋体" w:cs="宋体"/>
        </w:rPr>
        <w:t>本规程起草单位：河南省农产品质量安全和绿色食品发展中心、河南农业大学、郑州市农业经济发展中心、洛阳市种业发展中心、安阳市农村社会事业发展服务中心、焦作市农产品质量安全和绿色食品发展中心、三门峡市特色农业发展中心、平顶山市农业农村局、平顶山市农业发展中心、河北省农产品质量安全中心、陕西省农产品质量安全中心、安庆市农产品质量安全检测中心、中国绿色</w:t>
      </w:r>
      <w:r>
        <w:rPr>
          <w:rFonts w:ascii="宋体" w:hAnsi="宋体" w:cs="宋体"/>
        </w:rPr>
        <w:t>食品发展中心、</w:t>
      </w:r>
      <w:r>
        <w:rPr>
          <w:rFonts w:hint="eastAsia" w:ascii="宋体" w:hAnsi="宋体" w:cs="宋体"/>
        </w:rPr>
        <w:t>滕州市农业技术推广中心、博爱源生态农业有限公司。</w:t>
      </w:r>
    </w:p>
    <w:p w14:paraId="2E4E9102">
      <w:pPr>
        <w:pStyle w:val="10"/>
        <w:spacing w:before="156" w:beforeLines="50" w:after="156" w:afterLines="50" w:line="360" w:lineRule="exact"/>
        <w:contextualSpacing/>
        <w:jc w:val="left"/>
        <w:rPr>
          <w:rFonts w:ascii="宋体" w:hAnsi="宋体" w:cs="宋体"/>
        </w:rPr>
        <w:sectPr>
          <w:pgSz w:w="11906" w:h="16838"/>
          <w:pgMar w:top="1440" w:right="1800" w:bottom="1440" w:left="1800" w:header="851" w:footer="992" w:gutter="0"/>
          <w:cols w:space="425" w:num="1"/>
          <w:docGrid w:type="lines" w:linePitch="312" w:charSpace="0"/>
        </w:sectPr>
      </w:pPr>
      <w:r>
        <w:rPr>
          <w:rFonts w:hint="eastAsia" w:ascii="宋体" w:hAnsi="宋体" w:cs="宋体"/>
        </w:rPr>
        <w:t>本规程主要起草人：梁增灵、李阳、许琦、闫贝琪、刘姝言、赵阳、师媛媛、赵正华、梁海军、关静、王丽娜、杨宇轩、王莹、王璋、张宪</w:t>
      </w:r>
      <w:r>
        <w:rPr>
          <w:rFonts w:ascii="宋体" w:hAnsi="宋体" w:cs="宋体"/>
        </w:rPr>
        <w:t>、</w:t>
      </w:r>
      <w:r>
        <w:rPr>
          <w:rFonts w:hint="eastAsia" w:ascii="宋体" w:hAnsi="宋体" w:cs="宋体"/>
        </w:rPr>
        <w:t>王芳、王燕。</w:t>
      </w:r>
    </w:p>
    <w:p w14:paraId="33A7C8C1">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p>
    <w:p w14:paraId="6D13FF3E">
      <w:pPr>
        <w:pStyle w:val="10"/>
        <w:spacing w:before="156" w:beforeLines="50" w:after="156" w:afterLines="50" w:line="400" w:lineRule="atLeast"/>
        <w:ind w:left="357" w:firstLine="0" w:firstLineChars="0"/>
        <w:contextualSpacing/>
        <w:jc w:val="center"/>
        <w:rPr>
          <w:rFonts w:ascii="黑体" w:hAnsi="黑体" w:eastAsia="黑体" w:cs="宋体"/>
          <w:sz w:val="32"/>
          <w:szCs w:val="32"/>
        </w:rPr>
      </w:pPr>
      <w:r>
        <w:rPr>
          <w:rFonts w:hint="eastAsia" w:ascii="黑体" w:hAnsi="黑体" w:eastAsia="黑体" w:cs="宋体"/>
          <w:sz w:val="32"/>
          <w:szCs w:val="32"/>
        </w:rPr>
        <w:t>北方地区</w:t>
      </w:r>
    </w:p>
    <w:p w14:paraId="41998BF0">
      <w:pPr>
        <w:pStyle w:val="10"/>
        <w:spacing w:before="156" w:beforeLines="50" w:after="156" w:afterLines="50" w:line="400" w:lineRule="atLeast"/>
        <w:ind w:left="357" w:firstLine="0" w:firstLineChars="0"/>
        <w:contextualSpacing/>
        <w:jc w:val="center"/>
        <w:rPr>
          <w:rFonts w:ascii="黑体" w:hAnsi="黑体" w:eastAsia="黑体"/>
          <w:sz w:val="32"/>
          <w:szCs w:val="32"/>
        </w:rPr>
      </w:pPr>
      <w:r>
        <w:rPr>
          <w:rFonts w:hint="eastAsia" w:ascii="黑体" w:hAnsi="黑体" w:eastAsia="黑体"/>
          <w:sz w:val="32"/>
          <w:szCs w:val="32"/>
        </w:rPr>
        <w:t>绿色食品</w:t>
      </w:r>
      <w:r>
        <w:rPr>
          <w:rFonts w:hint="eastAsia" w:ascii="黑体" w:hAnsi="黑体" w:eastAsia="黑体" w:cs="宋体"/>
          <w:sz w:val="32"/>
          <w:szCs w:val="32"/>
        </w:rPr>
        <w:t>露地丝瓜</w:t>
      </w:r>
      <w:r>
        <w:rPr>
          <w:rFonts w:hint="eastAsia" w:ascii="黑体" w:hAnsi="黑体" w:eastAsia="黑体"/>
          <w:sz w:val="32"/>
          <w:szCs w:val="32"/>
        </w:rPr>
        <w:t>生产操作规程</w:t>
      </w:r>
    </w:p>
    <w:p w14:paraId="1F25A734">
      <w:pPr>
        <w:pStyle w:val="18"/>
        <w:spacing w:before="312" w:after="312"/>
      </w:pPr>
      <w:r>
        <w:rPr>
          <w:rFonts w:hint="eastAsia"/>
        </w:rPr>
        <w:t>范围</w:t>
      </w:r>
    </w:p>
    <w:p w14:paraId="011DCF30">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本规程规定了北方地区绿色食品露地丝瓜生产的产地环境、栽培季节、品种选择、育苗、整地作畦</w:t>
      </w:r>
      <w:r>
        <w:rPr>
          <w:rFonts w:asciiTheme="minorEastAsia" w:hAnsiTheme="minorEastAsia" w:eastAsiaTheme="minorEastAsia" w:cstheme="minorEastAsia"/>
        </w:rPr>
        <w:t>、</w:t>
      </w:r>
      <w:r>
        <w:rPr>
          <w:rFonts w:hint="eastAsia" w:asciiTheme="minorEastAsia" w:hAnsiTheme="minorEastAsia" w:eastAsiaTheme="minorEastAsia" w:cstheme="minorEastAsia"/>
        </w:rPr>
        <w:t>定植、田间管理、病虫害防治、采收和包装、生产废弃物处理、储藏及运输、和生产档案管理。</w:t>
      </w:r>
    </w:p>
    <w:p w14:paraId="156A9D85">
      <w:pPr>
        <w:pStyle w:val="10"/>
        <w:spacing w:before="156" w:beforeLines="50" w:after="156" w:afterLines="50"/>
        <w:contextualSpacing/>
        <w:rPr>
          <w:rFonts w:asciiTheme="minorEastAsia" w:hAnsiTheme="minorEastAsia" w:eastAsiaTheme="minorEastAsia" w:cstheme="minorEastAsia"/>
          <w:b/>
          <w:color w:val="FF0000"/>
        </w:rPr>
      </w:pPr>
      <w:r>
        <w:rPr>
          <w:rFonts w:hint="eastAsia" w:asciiTheme="minorEastAsia" w:hAnsiTheme="minorEastAsia" w:eastAsiaTheme="minorEastAsia" w:cstheme="minorEastAsia"/>
        </w:rPr>
        <w:t>本规程适用于北京、天津、河北、山西、内蒙古、辽宁、吉林、黑龙江、江苏中北部、安徽中北部地区、山东、河南、陕西、甘肃东南部、宁夏、新疆的绿色食品露地丝瓜的生产。</w:t>
      </w:r>
    </w:p>
    <w:p w14:paraId="327893B9">
      <w:pPr>
        <w:pStyle w:val="18"/>
        <w:spacing w:before="312" w:after="312"/>
      </w:pPr>
      <w:r>
        <w:rPr>
          <w:rFonts w:hint="eastAsia"/>
        </w:rPr>
        <w:t>规范性引用文件</w:t>
      </w:r>
    </w:p>
    <w:p w14:paraId="4F74D0E5">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下列文件中的内容通过文中的规范性引用而构成本规程必不可少的条款。其中，注日期的引用文件，仅该日期对应的版本适用于本规程；不注日期的引用文件，其最新版本（包括所有的修改单）适用于本规程。</w:t>
      </w:r>
    </w:p>
    <w:p w14:paraId="409F0476">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GB 13735 聚乙烯吹塑农用地面覆盖薄膜</w:t>
      </w:r>
    </w:p>
    <w:p w14:paraId="03D14EE4">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391 绿色食品 产地环境质量</w:t>
      </w:r>
    </w:p>
    <w:p w14:paraId="63C7E135">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393 绿色食品 农药使用准则</w:t>
      </w:r>
    </w:p>
    <w:p w14:paraId="1CEA275C">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394 绿色食品 肥料使用准则</w:t>
      </w:r>
    </w:p>
    <w:p w14:paraId="57F329A3">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658 绿色食品 包装通用准则</w:t>
      </w:r>
    </w:p>
    <w:p w14:paraId="5E0EBE62">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747 绿色食品 瓜类蔬菜</w:t>
      </w:r>
    </w:p>
    <w:p w14:paraId="6425C57E">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1056 绿色食品 储藏运输准则</w:t>
      </w:r>
    </w:p>
    <w:p w14:paraId="3C620659">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1982 丝瓜等级规格</w:t>
      </w:r>
    </w:p>
    <w:p w14:paraId="62D5CF10">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2118 蔬菜育苗基质</w:t>
      </w:r>
    </w:p>
    <w:p w14:paraId="30420FC4">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2119 蔬菜穴盘育苗通则</w:t>
      </w:r>
    </w:p>
    <w:p w14:paraId="2A6397CA">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2501 植物新品种特异性、一致性和稳定性的测试指南 丝瓜</w:t>
      </w:r>
    </w:p>
    <w:p w14:paraId="4CD5828E">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NY/T 2624 水肥一体化技术规范 总则</w:t>
      </w:r>
    </w:p>
    <w:p w14:paraId="3E66EA0F">
      <w:pPr>
        <w:pStyle w:val="18"/>
        <w:spacing w:before="312" w:after="312"/>
      </w:pPr>
      <w:r>
        <w:rPr>
          <w:rFonts w:hint="eastAsia"/>
        </w:rPr>
        <w:t>产地环境</w:t>
      </w:r>
    </w:p>
    <w:p w14:paraId="48987698">
      <w:pPr>
        <w:pStyle w:val="10"/>
        <w:spacing w:before="156" w:beforeLines="50" w:after="156" w:afterLines="50"/>
        <w:contextualSpacing/>
        <w:rPr>
          <w:rFonts w:asciiTheme="minorEastAsia" w:hAnsiTheme="minorEastAsia" w:eastAsiaTheme="minorEastAsia" w:cstheme="minorEastAsia"/>
          <w:b/>
          <w:color w:val="FF0000"/>
        </w:rPr>
      </w:pPr>
      <w:r>
        <w:rPr>
          <w:rFonts w:hint="eastAsia" w:asciiTheme="minorEastAsia" w:hAnsiTheme="minorEastAsia" w:eastAsiaTheme="minorEastAsia" w:cstheme="minorEastAsia"/>
        </w:rPr>
        <w:t>生产基地应选址于日照充足、相对集中成片的区域；土地要求地形平整、地势高燥、排水良好，土层深厚、富含有机质、疏松肥沃、前茬作物为未种植过葫芦科蔬菜作物的中性壤土或砂质壤土；土壤酸碱度适宜，一般pH值在6.0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7.5之间。产地环境应符合NY/T 391的规定。</w:t>
      </w:r>
    </w:p>
    <w:p w14:paraId="3FDA6B3C">
      <w:pPr>
        <w:pStyle w:val="18"/>
        <w:spacing w:before="312" w:after="312"/>
      </w:pPr>
      <w:r>
        <w:rPr>
          <w:rFonts w:hint="eastAsia"/>
        </w:rPr>
        <w:t>栽培季节</w:t>
      </w:r>
    </w:p>
    <w:p w14:paraId="3715B689">
      <w:pPr>
        <w:pStyle w:val="20"/>
        <w:spacing w:before="156" w:after="156"/>
      </w:pPr>
      <w:r>
        <w:rPr>
          <w:rFonts w:hint="eastAsia"/>
        </w:rPr>
        <w:t>东北和西北北部区域</w:t>
      </w:r>
    </w:p>
    <w:p w14:paraId="7524645B">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3月下旬育苗，5月上中旬定植，6月底开始收获，9月中旬拉秧。</w:t>
      </w:r>
    </w:p>
    <w:p w14:paraId="32F9CDA3">
      <w:pPr>
        <w:pStyle w:val="20"/>
        <w:spacing w:before="156" w:after="156"/>
      </w:pPr>
      <w:r>
        <w:rPr>
          <w:rFonts w:hint="eastAsia"/>
        </w:rPr>
        <w:t>黄淮海北部区域</w:t>
      </w:r>
    </w:p>
    <w:p w14:paraId="1EBC3AD7">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3月上中旬育苗，4月中旬定植，5月中下旬开始收获，10月上旬拉秧。</w:t>
      </w:r>
    </w:p>
    <w:p w14:paraId="1289ECA4">
      <w:pPr>
        <w:pStyle w:val="20"/>
        <w:spacing w:before="156" w:after="156"/>
      </w:pPr>
      <w:r>
        <w:rPr>
          <w:rFonts w:hint="eastAsia"/>
        </w:rPr>
        <w:t>黄淮海南部区域</w:t>
      </w:r>
    </w:p>
    <w:p w14:paraId="1714B3C1">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2月中下旬育苗，3月下旬</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4月上旬定植，5月上中旬收获，10月中下旬拉秧。</w:t>
      </w:r>
    </w:p>
    <w:p w14:paraId="21F92544">
      <w:pPr>
        <w:pStyle w:val="18"/>
        <w:spacing w:before="312" w:after="312"/>
      </w:pPr>
      <w:r>
        <w:rPr>
          <w:rFonts w:hint="eastAsia"/>
        </w:rPr>
        <w:t>品种选择</w:t>
      </w:r>
    </w:p>
    <w:p w14:paraId="1E2E5D9B">
      <w:pPr>
        <w:pStyle w:val="20"/>
        <w:spacing w:before="156" w:after="156"/>
      </w:pPr>
      <w:r>
        <w:rPr>
          <w:rFonts w:hint="eastAsia"/>
        </w:rPr>
        <w:t>选择原则</w:t>
      </w:r>
    </w:p>
    <w:p w14:paraId="589F4401">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针对不同地理区域环境特点进行品种选择。</w:t>
      </w:r>
    </w:p>
    <w:p w14:paraId="767A8B87">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东北、西北、华北和黄淮海北部区域：植株长势旺盛、耐低温、早熟、抗病性强、适应长日照、连续坐果能力强、商品性好、产量高的品种。</w:t>
      </w:r>
    </w:p>
    <w:p w14:paraId="3AB85ECB">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黄淮海南部区域：植株长势旺盛、耐低温和高温、早熟、抗病性强、适应长日照、雌花多、坐果率高、产量高的品种。</w:t>
      </w:r>
    </w:p>
    <w:p w14:paraId="026A46F5">
      <w:pPr>
        <w:pStyle w:val="20"/>
        <w:spacing w:before="156" w:after="156"/>
      </w:pPr>
      <w:r>
        <w:rPr>
          <w:rFonts w:hint="eastAsia"/>
        </w:rPr>
        <w:t>品种选用</w:t>
      </w:r>
    </w:p>
    <w:p w14:paraId="3169F9BB">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普通丝瓜品种：五叶香、驻丝瓜7号、驻丝瓜9号、驻丝瓜10号、中原绿1号、农福805、早冠丝瓜406、早佳、胖妞、福研3号、翠丝101、短棒二号。</w:t>
      </w:r>
    </w:p>
    <w:p w14:paraId="47BAFD89">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有棱丝瓜品种：绿胜3号、雅绿9号、粤优5号、夏优4号、夏绿5号、绿源3号。</w:t>
      </w:r>
    </w:p>
    <w:p w14:paraId="386A50E0">
      <w:pPr>
        <w:pStyle w:val="18"/>
        <w:spacing w:before="312" w:after="312"/>
      </w:pPr>
      <w:r>
        <w:rPr>
          <w:rFonts w:hint="eastAsia"/>
        </w:rPr>
        <w:t>育苗</w:t>
      </w:r>
    </w:p>
    <w:p w14:paraId="3DCD4BE7">
      <w:pPr>
        <w:pStyle w:val="20"/>
        <w:spacing w:before="156" w:after="156"/>
      </w:pPr>
      <w:r>
        <w:rPr>
          <w:rFonts w:hint="eastAsia"/>
        </w:rPr>
        <w:t>育苗设施、设备</w:t>
      </w:r>
    </w:p>
    <w:p w14:paraId="0D8CC464">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根据不同季节，可选用塑料大棚、日光温室和连栋温室等设施育苗。配有防虫网、遮阳网、催芽室、育苗床、水肥一体化等设备。</w:t>
      </w:r>
    </w:p>
    <w:p w14:paraId="6505E7EF">
      <w:pPr>
        <w:pStyle w:val="20"/>
        <w:spacing w:before="156" w:after="156"/>
      </w:pPr>
      <w:r>
        <w:rPr>
          <w:rFonts w:hint="eastAsia"/>
        </w:rPr>
        <w:t>播前准备</w:t>
      </w:r>
    </w:p>
    <w:p w14:paraId="48FA187F">
      <w:pPr>
        <w:pStyle w:val="21"/>
        <w:spacing w:before="156" w:after="156"/>
        <w:rPr>
          <w:rFonts w:hAnsi="黑体" w:cs="黑体"/>
          <w:szCs w:val="21"/>
        </w:rPr>
      </w:pPr>
      <w:r>
        <w:rPr>
          <w:rFonts w:hint="eastAsia" w:hAnsi="黑体" w:cs="黑体"/>
          <w:szCs w:val="21"/>
        </w:rPr>
        <w:t>穴盘准备</w:t>
      </w:r>
    </w:p>
    <w:p w14:paraId="32778BFE">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选用50或72孔穴盘，用0.2%～0.3%高锰酸钾溶液浸泡12h消毒，捞出后清水冲洗干净待用。新穴盘可直接使用。穴盘质量应符合NY/T 2119的规定。</w:t>
      </w:r>
    </w:p>
    <w:p w14:paraId="4D9C9561">
      <w:pPr>
        <w:pStyle w:val="21"/>
        <w:spacing w:before="156" w:after="156"/>
        <w:rPr>
          <w:rFonts w:hAnsi="黑体" w:cs="黑体"/>
          <w:szCs w:val="21"/>
        </w:rPr>
      </w:pPr>
      <w:r>
        <w:rPr>
          <w:rFonts w:hint="eastAsia" w:hAnsi="黑体" w:cs="黑体"/>
          <w:szCs w:val="21"/>
        </w:rPr>
        <w:t>基质准备</w:t>
      </w:r>
    </w:p>
    <w:p w14:paraId="271FCF39">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选用优质草炭、蛭石、珍珠岩，三者按体积比6﹕1﹕2配制，调至含水量50%～60%，pH值5.8～7.4，搅拌均匀。将准备好的基质装入穴盘抹平。基质应符合NY/T 2118的要求。肥料使用符合NY/T 394要求。</w:t>
      </w:r>
    </w:p>
    <w:p w14:paraId="54867231">
      <w:pPr>
        <w:pStyle w:val="20"/>
        <w:spacing w:before="156" w:after="156"/>
      </w:pPr>
      <w:r>
        <w:rPr>
          <w:rFonts w:hint="eastAsia"/>
        </w:rPr>
        <w:t>种子处理</w:t>
      </w:r>
    </w:p>
    <w:p w14:paraId="3C5B1CB5">
      <w:pPr>
        <w:pStyle w:val="10"/>
        <w:tabs>
          <w:tab w:val="left" w:pos="142"/>
        </w:tabs>
        <w:spacing w:before="156" w:beforeLines="50" w:after="156" w:afterLines="50"/>
        <w:ind w:left="-1"/>
        <w:contextualSpacing/>
        <w:rPr>
          <w:rFonts w:asciiTheme="minorEastAsia" w:hAnsiTheme="minorEastAsia" w:eastAsiaTheme="minorEastAsia" w:cstheme="minorEastAsia"/>
        </w:rPr>
      </w:pPr>
      <w:r>
        <w:rPr>
          <w:rFonts w:hint="eastAsia" w:ascii="宋体" w:hAnsi="宋体" w:cs="宋体"/>
        </w:rPr>
        <w:t>种子质量要求净度≥97.0%，发芽率≥85.0%。</w:t>
      </w:r>
      <w:r>
        <w:rPr>
          <w:rFonts w:hint="eastAsia" w:asciiTheme="minorEastAsia" w:hAnsiTheme="minorEastAsia" w:eastAsiaTheme="minorEastAsia" w:cstheme="minorEastAsia"/>
        </w:rPr>
        <w:t>剔除瘪粒、破碎粒及杂质等。将种子放入55℃的温水中不断搅拌15min，随后放入30℃的温水中浸泡10h</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15h，中途换水一次，换水时揉搓种子洗去表面黏液。将浸种后的种子摊放在铺有湿棉布的平盘内，覆膜置于28℃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32℃催芽室内进行催芽，待70%以上的种子露白时播种。</w:t>
      </w:r>
      <w:r>
        <w:rPr>
          <w:rFonts w:hint="eastAsia" w:ascii="宋体" w:hAnsi="宋体" w:cs="宋体"/>
        </w:rPr>
        <w:t>种子质量应符合NY/T 2501的规定。</w:t>
      </w:r>
    </w:p>
    <w:p w14:paraId="6C0F66AC">
      <w:pPr>
        <w:pStyle w:val="20"/>
        <w:spacing w:before="156" w:after="156"/>
      </w:pPr>
      <w:r>
        <w:rPr>
          <w:rFonts w:hint="eastAsia"/>
        </w:rPr>
        <w:t>播种及苗期管理</w:t>
      </w:r>
    </w:p>
    <w:p w14:paraId="6C4A8AA7">
      <w:pPr>
        <w:pStyle w:val="21"/>
        <w:spacing w:before="156" w:after="156"/>
        <w:rPr>
          <w:rFonts w:hAnsi="黑体" w:cs="黑体"/>
          <w:szCs w:val="21"/>
        </w:rPr>
      </w:pPr>
      <w:r>
        <w:rPr>
          <w:rFonts w:hint="eastAsia" w:hAnsi="黑体" w:cs="黑体"/>
          <w:szCs w:val="21"/>
        </w:rPr>
        <w:t>播种方法</w:t>
      </w:r>
    </w:p>
    <w:p w14:paraId="13D68728">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压播种穴，穴孔深度1.0cm</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1.5cm，将露白的种子平放于穴孔种，每穴播种1粒，播种后用基质填满播种穴，用平板刮平，整齐摆放在育苗架上，浇透水，穴盘表面覆盖薄膜。地膜选用应符合GB 13735的规定。</w:t>
      </w:r>
    </w:p>
    <w:p w14:paraId="18D7C8DE">
      <w:pPr>
        <w:pStyle w:val="21"/>
        <w:spacing w:before="156" w:after="156"/>
        <w:rPr>
          <w:rFonts w:hAnsi="黑体" w:cs="黑体"/>
          <w:szCs w:val="21"/>
        </w:rPr>
      </w:pPr>
      <w:r>
        <w:rPr>
          <w:rFonts w:hint="eastAsia" w:hAnsi="黑体" w:cs="黑体"/>
          <w:szCs w:val="21"/>
        </w:rPr>
        <w:t>苗期管理</w:t>
      </w:r>
    </w:p>
    <w:p w14:paraId="18940B7A">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出苗前，白天温度保持在28℃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30℃，夜温20℃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25℃。50%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70%幼苗出土后，及时揭膜。出苗后，白天温度保持在25℃</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28℃，夜间15℃</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20℃。</w:t>
      </w:r>
    </w:p>
    <w:p w14:paraId="1C64150A">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子叶展平前喷施清水，子叶展平后喷施1次1500倍大量元素水溶肥。第一片真叶展开后，喷施浓度为0.5‰的水溶肥N-P</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w:t>
      </w:r>
      <w:r>
        <w:rPr>
          <w:rFonts w:hint="eastAsia" w:asciiTheme="minorEastAsia" w:hAnsiTheme="minorEastAsia" w:eastAsiaTheme="minorEastAsia" w:cstheme="minorEastAsia"/>
          <w:vertAlign w:val="subscript"/>
        </w:rPr>
        <w:t>5</w:t>
      </w:r>
      <w:r>
        <w:rPr>
          <w:rFonts w:hint="eastAsia" w:asciiTheme="minorEastAsia" w:hAnsiTheme="minorEastAsia" w:eastAsiaTheme="minorEastAsia" w:cstheme="minorEastAsia"/>
        </w:rPr>
        <w:t>-K</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O（18-18-18）。基质湿度控制在60%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70%。肥料使用符合NY/T 394要求。</w:t>
      </w:r>
    </w:p>
    <w:p w14:paraId="279900B4">
      <w:pPr>
        <w:pStyle w:val="21"/>
        <w:spacing w:before="156" w:after="156"/>
        <w:rPr>
          <w:rFonts w:hAnsi="黑体" w:cs="黑体"/>
          <w:szCs w:val="21"/>
        </w:rPr>
      </w:pPr>
      <w:r>
        <w:rPr>
          <w:rFonts w:hint="eastAsia" w:hAnsi="黑体" w:cs="黑体"/>
          <w:szCs w:val="21"/>
        </w:rPr>
        <w:t>炼苗</w:t>
      </w:r>
    </w:p>
    <w:p w14:paraId="664D07F3">
      <w:pPr>
        <w:pStyle w:val="10"/>
        <w:spacing w:before="156" w:beforeLines="50" w:after="156" w:afterLines="50"/>
        <w:contextualSpacing/>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定植前3d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color w:val="000000" w:themeColor="text1"/>
          <w14:textFill>
            <w14:solidFill>
              <w14:schemeClr w14:val="tx1"/>
            </w14:solidFill>
          </w14:textFill>
        </w:rPr>
        <w:t>5d，通过降低基质湿度、降低温度、增加光照时间和强度、增加通风量等措施炼苗。</w:t>
      </w:r>
    </w:p>
    <w:p w14:paraId="093D0F8B">
      <w:pPr>
        <w:pStyle w:val="20"/>
        <w:spacing w:before="156" w:after="156"/>
      </w:pPr>
      <w:r>
        <w:rPr>
          <w:rFonts w:hint="eastAsia"/>
        </w:rPr>
        <w:t>成苗标准</w:t>
      </w:r>
    </w:p>
    <w:p w14:paraId="56EC970F">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3叶1心，子叶以下茎粗≥0.5cm，株高10cm 左右</w:t>
      </w:r>
      <w:r>
        <w:rPr>
          <w:rFonts w:hint="eastAsia" w:asciiTheme="minorEastAsia" w:hAnsiTheme="minorEastAsia" w:eastAsiaTheme="minorEastAsia" w:cstheme="minorEastAsia"/>
          <w:color w:val="000000" w:themeColor="text1"/>
          <w14:textFill>
            <w14:solidFill>
              <w14:schemeClr w14:val="tx1"/>
            </w14:solidFill>
          </w14:textFill>
        </w:rPr>
        <w:t>，子叶完好，叶</w:t>
      </w:r>
      <w:r>
        <w:rPr>
          <w:rFonts w:hint="eastAsia" w:asciiTheme="minorEastAsia" w:hAnsiTheme="minorEastAsia" w:eastAsiaTheme="minorEastAsia" w:cstheme="minorEastAsia"/>
        </w:rPr>
        <w:t>片颜色浓绿，根坨成型，根系粗壮，毛细根发达，无病斑，无虫害。</w:t>
      </w:r>
    </w:p>
    <w:p w14:paraId="7F81B01D">
      <w:pPr>
        <w:pStyle w:val="18"/>
        <w:spacing w:before="312" w:after="312"/>
      </w:pPr>
      <w:r>
        <w:rPr>
          <w:rFonts w:hint="eastAsia"/>
        </w:rPr>
        <w:t>整地做畦</w:t>
      </w:r>
    </w:p>
    <w:p w14:paraId="2636A320">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整地前每亩商品有机肥300kg/亩</w:t>
      </w:r>
      <w:r>
        <w:rPr>
          <w:rFonts w:hint="eastAsia" w:asciiTheme="minorEastAsia" w:hAnsiTheme="minorEastAsia" w:eastAsiaTheme="minorEastAsia" w:cstheme="minorEastAsia"/>
          <w:color w:val="000000"/>
          <w:kern w:val="0"/>
        </w:rPr>
        <w:t>～600</w:t>
      </w:r>
      <w:r>
        <w:rPr>
          <w:rFonts w:hint="eastAsia" w:asciiTheme="minorEastAsia" w:hAnsiTheme="minorEastAsia" w:eastAsiaTheme="minorEastAsia" w:cstheme="minorEastAsia"/>
        </w:rPr>
        <w:t>kg/亩，硫酸钾型复合肥50kg，均匀撒施到土地表面。随后深翻25cm～30cm，旋耕1次～2次，做畦，畦宽1.2m，沟宽0.5m，沟深24cm～30cm。每畦铺设2条滴灌带，并配备水肥一体化设备。滴灌带铺设完成后，春茬栽培覆盖黑色地膜或银黑双色膜，秋茬栽培地面铺草保湿。肥料使用应符合NY/T 394规定，水肥一体化设备应符合NY/T 2624的规定。</w:t>
      </w:r>
    </w:p>
    <w:p w14:paraId="6F50581F">
      <w:pPr>
        <w:pStyle w:val="18"/>
        <w:spacing w:before="312" w:after="312"/>
      </w:pPr>
      <w:r>
        <w:rPr>
          <w:rFonts w:hint="eastAsia"/>
        </w:rPr>
        <w:t>定植</w:t>
      </w:r>
    </w:p>
    <w:p w14:paraId="4999A092">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丝瓜种苗需在10cm土温稳定超过15℃时定植，定植宜在晴天上午进行。每畦种植2行，株距50cm～60cm，行距50cm，每亩栽丝瓜1500株～1700株。定植深度以根坨以上覆土1cm与地持平。定植后每亩灌缓苗水15m³</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20m³。</w:t>
      </w:r>
    </w:p>
    <w:p w14:paraId="2E30F8B3">
      <w:pPr>
        <w:pStyle w:val="18"/>
        <w:spacing w:before="312" w:after="312"/>
      </w:pPr>
      <w:r>
        <w:rPr>
          <w:rFonts w:hint="eastAsia"/>
        </w:rPr>
        <w:t>田间管理</w:t>
      </w:r>
    </w:p>
    <w:p w14:paraId="469906F7">
      <w:pPr>
        <w:pStyle w:val="20"/>
        <w:spacing w:before="156" w:after="156"/>
      </w:pPr>
      <w:r>
        <w:rPr>
          <w:rFonts w:hint="eastAsia"/>
        </w:rPr>
        <w:t>温度管理</w:t>
      </w:r>
    </w:p>
    <w:p w14:paraId="50E23B1B">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春提早栽培前期气温较低，应加盖单层小拱棚或双层小拱棚。拱架材料选用细竹竿或玻璃纤维棒，两端插入地中，做成拱架，拱棚高度50cm</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60cm,长度依地块而定。上覆盖0.03mm</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0.04mm的棚膜。</w:t>
      </w:r>
    </w:p>
    <w:p w14:paraId="132EEC24">
      <w:pPr>
        <w:pStyle w:val="20"/>
        <w:spacing w:before="156" w:after="156"/>
      </w:pPr>
      <w:r>
        <w:rPr>
          <w:rFonts w:hint="eastAsia"/>
        </w:rPr>
        <w:t>水肥管理</w:t>
      </w:r>
    </w:p>
    <w:p w14:paraId="62CEC31E">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采用水肥一体化技术。雄花开放时，结合浇水，每亩施水溶肥N-P</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w:t>
      </w:r>
      <w:r>
        <w:rPr>
          <w:rFonts w:hint="eastAsia" w:asciiTheme="minorEastAsia" w:hAnsiTheme="minorEastAsia" w:eastAsiaTheme="minorEastAsia" w:cstheme="minorEastAsia"/>
          <w:vertAlign w:val="subscript"/>
        </w:rPr>
        <w:t>5</w:t>
      </w:r>
      <w:r>
        <w:rPr>
          <w:rFonts w:hint="eastAsia" w:asciiTheme="minorEastAsia" w:hAnsiTheme="minorEastAsia" w:eastAsiaTheme="minorEastAsia" w:cstheme="minorEastAsia"/>
        </w:rPr>
        <w:t>-K</w:t>
      </w:r>
      <w:r>
        <w:rPr>
          <w:rFonts w:hint="eastAsia" w:asciiTheme="minorEastAsia" w:hAnsiTheme="minorEastAsia" w:eastAsiaTheme="minorEastAsia" w:cstheme="minorEastAsia"/>
          <w:vertAlign w:val="subscript"/>
        </w:rPr>
        <w:t>2</w:t>
      </w:r>
      <w:r>
        <w:rPr>
          <w:rFonts w:hint="eastAsia" w:asciiTheme="minorEastAsia" w:hAnsiTheme="minorEastAsia" w:eastAsiaTheme="minorEastAsia" w:cstheme="minorEastAsia"/>
        </w:rPr>
        <w:t>O（16-6-30）5kg</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10kg；坐果后追施一次水溶肥；盛瓜期每采收一次瓜，结合浇水施1次水溶肥。肥料应符合NY/T 394规定。</w:t>
      </w:r>
    </w:p>
    <w:p w14:paraId="2FE6A374">
      <w:pPr>
        <w:pStyle w:val="20"/>
        <w:spacing w:before="156" w:after="156"/>
      </w:pPr>
      <w:r>
        <w:rPr>
          <w:rFonts w:hint="eastAsia"/>
        </w:rPr>
        <w:t>搭架</w:t>
      </w:r>
    </w:p>
    <w:p w14:paraId="1E8B0560">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架材可用2.5m</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3.0m的竹杆、包塑杆等材料。在植株旁距畦边10cm处插杆搭架，插入土中20cm。一株一杆，顶部交叉并加横杆固定，使同畦人字架连成整体。</w:t>
      </w:r>
    </w:p>
    <w:p w14:paraId="1BF4F73A">
      <w:pPr>
        <w:pStyle w:val="20"/>
        <w:spacing w:before="156" w:after="156"/>
      </w:pPr>
      <w:r>
        <w:rPr>
          <w:rFonts w:hint="eastAsia"/>
        </w:rPr>
        <w:t>植株管理</w:t>
      </w:r>
    </w:p>
    <w:p w14:paraId="178C076B">
      <w:pPr>
        <w:pStyle w:val="21"/>
        <w:spacing w:before="156" w:after="156"/>
        <w:rPr>
          <w:rFonts w:hAnsi="黑体" w:cs="黑体"/>
          <w:szCs w:val="21"/>
        </w:rPr>
      </w:pPr>
      <w:r>
        <w:rPr>
          <w:rFonts w:hint="eastAsia" w:hAnsi="黑体" w:cs="黑体"/>
          <w:szCs w:val="21"/>
        </w:rPr>
        <w:t>引蔓、压蔓、盘蔓、绑蔓</w:t>
      </w:r>
    </w:p>
    <w:p w14:paraId="5DFFCC5C">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主蔓30cm</w:t>
      </w:r>
      <w:r>
        <w:rPr>
          <w:rFonts w:hint="eastAsia" w:asciiTheme="minorEastAsia" w:hAnsiTheme="minorEastAsia" w:eastAsiaTheme="minorEastAsia" w:cstheme="minorEastAsia"/>
          <w:color w:val="000000"/>
          <w:kern w:val="0"/>
        </w:rPr>
        <w:t>～50cm时，引蔓上架。若营养生长过旺时需压蔓，在瓜蔓50cm左右培土压蔓1次，瓜蔓长70厘米左右再培土压蔓1次，将蔓盘曲在畦面上。采用“之”字形绑蔓，间隔2d～3d绑蔓1次</w:t>
      </w:r>
      <w:r>
        <w:rPr>
          <w:rFonts w:hint="eastAsia" w:asciiTheme="minorEastAsia" w:hAnsiTheme="minorEastAsia" w:eastAsiaTheme="minorEastAsia" w:cstheme="minorEastAsia"/>
        </w:rPr>
        <w:t>。</w:t>
      </w:r>
    </w:p>
    <w:p w14:paraId="6DF752E9">
      <w:pPr>
        <w:pStyle w:val="21"/>
        <w:spacing w:before="156" w:after="156"/>
        <w:rPr>
          <w:rFonts w:hAnsi="黑体" w:cs="黑体"/>
          <w:szCs w:val="21"/>
        </w:rPr>
      </w:pPr>
      <w:r>
        <w:rPr>
          <w:rFonts w:hint="eastAsia" w:hAnsi="黑体" w:cs="黑体"/>
          <w:szCs w:val="21"/>
        </w:rPr>
        <w:t>植株调整</w:t>
      </w:r>
    </w:p>
    <w:p w14:paraId="78622AB2">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color w:val="000000"/>
          <w:kern w:val="0"/>
        </w:rPr>
        <w:t>主蔓坐果前，基部50cm以下的侧蔓全部去除，50cm以上的</w:t>
      </w:r>
      <w:r>
        <w:rPr>
          <w:rFonts w:hint="eastAsia" w:asciiTheme="minorEastAsia" w:hAnsiTheme="minorEastAsia" w:eastAsiaTheme="minorEastAsia" w:cstheme="minorEastAsia"/>
        </w:rPr>
        <w:t>主蔓结2个</w:t>
      </w:r>
      <w:r>
        <w:rPr>
          <w:rFonts w:hint="eastAsia" w:asciiTheme="minorEastAsia" w:hAnsiTheme="minorEastAsia" w:eastAsiaTheme="minorEastAsia" w:cstheme="minorEastAsia"/>
          <w:color w:val="000000"/>
          <w:kern w:val="0"/>
        </w:rPr>
        <w:t>～3个瓜后，摘心，留顶部侧枝继续生长，所留侧枝结2个～3个瓜后摘心，顶部留侧芽继续生长，如此反复更新换头3次～4次后，不再整枝摘心。</w:t>
      </w:r>
    </w:p>
    <w:p w14:paraId="71644ABC">
      <w:pPr>
        <w:pStyle w:val="21"/>
        <w:spacing w:before="156" w:after="156"/>
        <w:rPr>
          <w:rFonts w:hAnsi="黑体" w:cs="黑体"/>
          <w:szCs w:val="21"/>
        </w:rPr>
      </w:pPr>
      <w:r>
        <w:rPr>
          <w:rFonts w:hint="eastAsia" w:hAnsi="黑体" w:cs="黑体"/>
          <w:szCs w:val="21"/>
        </w:rPr>
        <w:t>疏株</w:t>
      </w:r>
    </w:p>
    <w:p w14:paraId="6848B0BD">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color w:val="000000"/>
          <w:kern w:val="0"/>
        </w:rPr>
        <w:t>丝瓜植株爬满人字架后，入枝叶过密，疏除部分植株，最多可疏除⅔植株，并及时清理残体。</w:t>
      </w:r>
    </w:p>
    <w:p w14:paraId="26C5225F">
      <w:pPr>
        <w:pStyle w:val="20"/>
        <w:spacing w:before="156" w:after="156"/>
      </w:pPr>
      <w:r>
        <w:rPr>
          <w:rFonts w:hint="eastAsia"/>
        </w:rPr>
        <w:t>辅助授粉</w:t>
      </w:r>
    </w:p>
    <w:p w14:paraId="1D261A55">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开花结果期采用人工辅助授粉。人工授粉以上午8时</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10时为宜，用当天开放的雄花去掉花瓣后在雌花柱头上轻轻涂抹，雄花量不足时，1朵雄花可授3朵</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4朵雌花。</w:t>
      </w:r>
    </w:p>
    <w:p w14:paraId="7EEB6193">
      <w:pPr>
        <w:pStyle w:val="18"/>
        <w:spacing w:before="312" w:after="312"/>
      </w:pPr>
      <w:r>
        <w:rPr>
          <w:rFonts w:hint="eastAsia"/>
        </w:rPr>
        <w:t>病虫害防治</w:t>
      </w:r>
    </w:p>
    <w:p w14:paraId="75BC9B8C">
      <w:pPr>
        <w:pStyle w:val="20"/>
        <w:spacing w:before="156" w:after="156"/>
      </w:pPr>
      <w:r>
        <w:rPr>
          <w:rFonts w:hint="eastAsia"/>
        </w:rPr>
        <w:t>防治原则</w:t>
      </w:r>
    </w:p>
    <w:p w14:paraId="5D6A86FC">
      <w:pPr>
        <w:pStyle w:val="19"/>
        <w:ind w:firstLine="420"/>
      </w:pPr>
      <w:r>
        <w:rPr>
          <w:rFonts w:hint="eastAsia"/>
        </w:rPr>
        <w:t>按照“预防为主、综合防治”的植保方针，在做好种子检疫和病虫害田间监测的基础上，针对露地丝瓜不同生育期主要病虫害发生特点，优先采用农业措施、物理防治、生物防治，辅之以科学合理的化学防治的绿色防控技术，实现丝瓜病虫害绿色防控和优质安全生产。</w:t>
      </w:r>
    </w:p>
    <w:p w14:paraId="6245D7D9">
      <w:pPr>
        <w:pStyle w:val="20"/>
        <w:spacing w:before="156" w:after="156"/>
      </w:pPr>
      <w:r>
        <w:rPr>
          <w:rFonts w:hint="eastAsia"/>
        </w:rPr>
        <w:t>主要防治对象</w:t>
      </w:r>
    </w:p>
    <w:p w14:paraId="0C835711">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丝瓜主要病虫害：白粉病、霜霉病、灰霉病、白粉虱、潜叶蝇、蓟马。</w:t>
      </w:r>
    </w:p>
    <w:p w14:paraId="0DE1D098">
      <w:pPr>
        <w:pStyle w:val="20"/>
        <w:spacing w:before="156" w:after="156"/>
      </w:pPr>
      <w:r>
        <w:rPr>
          <w:rFonts w:hint="eastAsia"/>
        </w:rPr>
        <w:t>防治方法</w:t>
      </w:r>
    </w:p>
    <w:p w14:paraId="49A3914A">
      <w:pPr>
        <w:pStyle w:val="21"/>
        <w:spacing w:before="156" w:after="156"/>
        <w:rPr>
          <w:rFonts w:hAnsi="黑体" w:cs="黑体"/>
          <w:szCs w:val="21"/>
        </w:rPr>
      </w:pPr>
      <w:r>
        <w:rPr>
          <w:rFonts w:hint="eastAsia" w:hAnsi="黑体" w:cs="黑体"/>
          <w:szCs w:val="21"/>
        </w:rPr>
        <w:t>农业防治</w:t>
      </w:r>
    </w:p>
    <w:p w14:paraId="40EB7940">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实行轮作换茬，避免与葫芦科作物连作；及时摘除下部老叶、病叶病果；拉秧后及时清园。</w:t>
      </w:r>
    </w:p>
    <w:p w14:paraId="33A86651">
      <w:pPr>
        <w:pStyle w:val="21"/>
        <w:spacing w:before="156" w:after="156"/>
        <w:rPr>
          <w:rFonts w:hAnsi="黑体" w:cs="黑体"/>
          <w:szCs w:val="21"/>
        </w:rPr>
      </w:pPr>
      <w:r>
        <w:rPr>
          <w:rFonts w:hint="eastAsia" w:hAnsi="黑体" w:cs="黑体"/>
          <w:szCs w:val="21"/>
        </w:rPr>
        <w:t>物理防治</w:t>
      </w:r>
    </w:p>
    <w:p w14:paraId="476C969D">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在距离植株顶端15cm</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20cm处，挂置长30cm、宽20cm黄色粘虫板和蓝色粘虫板，密度为30块/亩</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35块/亩。</w:t>
      </w:r>
    </w:p>
    <w:p w14:paraId="1A28AF24">
      <w:pPr>
        <w:pStyle w:val="21"/>
        <w:spacing w:before="156" w:after="156"/>
        <w:rPr>
          <w:rFonts w:hAnsi="黑体" w:cs="黑体"/>
          <w:szCs w:val="21"/>
        </w:rPr>
      </w:pPr>
      <w:r>
        <w:rPr>
          <w:rFonts w:hint="eastAsia" w:hAnsi="黑体" w:cs="黑体"/>
          <w:szCs w:val="21"/>
        </w:rPr>
        <w:t>生物防治</w:t>
      </w:r>
    </w:p>
    <w:p w14:paraId="0DB7251B">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使用植物源农药、生物农药等防治病虫，如苦参碱等，农药使用应符合NY/T 393规定，具体用药情况参见附录A。</w:t>
      </w:r>
    </w:p>
    <w:p w14:paraId="4CC9B868">
      <w:pPr>
        <w:pStyle w:val="21"/>
        <w:spacing w:before="156" w:after="156"/>
        <w:rPr>
          <w:rFonts w:hAnsi="黑体" w:cs="黑体"/>
          <w:szCs w:val="21"/>
        </w:rPr>
      </w:pPr>
      <w:r>
        <w:rPr>
          <w:rFonts w:hint="eastAsia" w:hAnsi="黑体" w:cs="黑体"/>
          <w:szCs w:val="21"/>
        </w:rPr>
        <w:t>化学防治</w:t>
      </w:r>
    </w:p>
    <w:p w14:paraId="1974CBF0">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农药使用应符合NY/T 393规定，严格按照农药安全使用间隔期用药，注意交替用药，具体用药情况参见附录A。</w:t>
      </w:r>
    </w:p>
    <w:p w14:paraId="0CEBB375">
      <w:pPr>
        <w:pStyle w:val="18"/>
        <w:spacing w:before="312" w:after="312"/>
      </w:pPr>
      <w:r>
        <w:rPr>
          <w:rFonts w:hint="eastAsia"/>
        </w:rPr>
        <w:t>采收和包装</w:t>
      </w:r>
    </w:p>
    <w:p w14:paraId="1A7ECA2A">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开花授粉后10d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12d即可采收上市，采收宜在早上8点前。采收标准为果型周正，表面无损伤、果皮嫩绿。应带果柄剪下，轻拿轻放。丝瓜产品等级根据要求分为特级、一级、二级。单个丝瓜套泡沫网袋，放入纸箱、塑料箱等外包装容器中。外包装容器应干燥、清洁、牢固、透气、无毒、无污染、无异味。容器外应标明产品名称、生产者、产地、净含量和采收日期等。产品质量应符合NY/T 747规定，丝瓜分级标准应符合NY/T 1982规定。包装应符合NY/T 658规定。</w:t>
      </w:r>
    </w:p>
    <w:p w14:paraId="4309744F">
      <w:pPr>
        <w:pStyle w:val="18"/>
        <w:spacing w:before="312" w:after="312"/>
      </w:pPr>
      <w:r>
        <w:rPr>
          <w:rFonts w:hint="eastAsia"/>
        </w:rPr>
        <w:t>生产废弃物处理</w:t>
      </w:r>
    </w:p>
    <w:p w14:paraId="1D2F2E4D">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将生产中使用过的农药包装袋、地膜等收集后，回收处理。拉秧后，将残枝败叶和杂草清理干净，进行无害化处理或资源化利用。栽培结束后瓜秧及时清除，可集中粉碎，堆沤有机肥料循环利用。</w:t>
      </w:r>
    </w:p>
    <w:p w14:paraId="3010584B">
      <w:pPr>
        <w:pStyle w:val="18"/>
        <w:spacing w:before="312" w:after="312"/>
      </w:pPr>
      <w:r>
        <w:rPr>
          <w:rFonts w:hint="eastAsia"/>
        </w:rPr>
        <w:t>储藏及运输</w:t>
      </w:r>
    </w:p>
    <w:p w14:paraId="0AD4DFB8">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储藏设施周围环境应清洁卫生，并远离污染源。储藏温度8℃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10℃，空气相对湿度70%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80%，保持气流均匀畅通，储藏期2d</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5d。运输适宜温度8℃</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11℃，空气相对湿度70%</w:t>
      </w:r>
      <w:r>
        <w:rPr>
          <w:rFonts w:hint="eastAsia" w:asciiTheme="minorEastAsia" w:hAnsiTheme="minorEastAsia" w:eastAsiaTheme="minorEastAsia" w:cstheme="minorEastAsia"/>
          <w:color w:val="000000"/>
          <w:kern w:val="0"/>
        </w:rPr>
        <w:t>～</w:t>
      </w:r>
      <w:r>
        <w:rPr>
          <w:rFonts w:hint="eastAsia" w:asciiTheme="minorEastAsia" w:hAnsiTheme="minorEastAsia" w:eastAsiaTheme="minorEastAsia" w:cstheme="minorEastAsia"/>
        </w:rPr>
        <w:t>80%。储藏和运输条件应符合NY/T 1056规定。</w:t>
      </w:r>
    </w:p>
    <w:p w14:paraId="34119168">
      <w:pPr>
        <w:pStyle w:val="18"/>
        <w:spacing w:before="312" w:after="312"/>
      </w:pPr>
      <w:r>
        <w:rPr>
          <w:rFonts w:hint="eastAsia"/>
        </w:rPr>
        <w:t>生产档案管理</w:t>
      </w:r>
    </w:p>
    <w:p w14:paraId="10AA7E98">
      <w:pPr>
        <w:pStyle w:val="10"/>
        <w:spacing w:before="156" w:beforeLines="50" w:after="156" w:afterLines="50"/>
        <w:contextualSpacing/>
        <w:rPr>
          <w:rFonts w:asciiTheme="minorEastAsia" w:hAnsiTheme="minorEastAsia" w:eastAsiaTheme="minorEastAsia" w:cstheme="minorEastAsia"/>
        </w:rPr>
      </w:pPr>
      <w:r>
        <w:rPr>
          <w:rFonts w:hint="eastAsia" w:asciiTheme="minorEastAsia" w:hAnsiTheme="minorEastAsia" w:eastAsiaTheme="minorEastAsia" w:cstheme="minorEastAsia"/>
        </w:rPr>
        <w:t>生产者应建立生产档案，记录品种、施肥、病虫草害防治、采收及田间操作管理措施。所有记录应真实、准确、规范，并具有可追溯性。生产档案应有专人专柜保管，至少保存3年。</w:t>
      </w:r>
      <w:r>
        <w:rPr>
          <w:rFonts w:asciiTheme="minorEastAsia" w:hAnsiTheme="minorEastAsia" w:eastAsiaTheme="minorEastAsia" w:cstheme="minorEastAsia"/>
        </w:rPr>
        <w:br w:type="page"/>
      </w:r>
    </w:p>
    <w:p w14:paraId="7011363C">
      <w:pPr>
        <w:pStyle w:val="10"/>
        <w:spacing w:before="156" w:beforeLines="50" w:after="156" w:afterLines="50"/>
        <w:ind w:firstLine="0" w:firstLineChars="0"/>
        <w:contextualSpacing/>
        <w:jc w:val="center"/>
        <w:rPr>
          <w:rFonts w:ascii="黑体" w:eastAsia="黑体"/>
          <w:kern w:val="0"/>
        </w:rPr>
      </w:pPr>
      <w:r>
        <w:rPr>
          <w:rFonts w:hint="eastAsia" w:ascii="黑体" w:eastAsia="黑体"/>
          <w:kern w:val="0"/>
        </w:rPr>
        <w:t>附录A</w:t>
      </w:r>
    </w:p>
    <w:p w14:paraId="5E72A3F5">
      <w:pPr>
        <w:spacing w:line="400" w:lineRule="atLeast"/>
        <w:contextualSpacing/>
        <w:jc w:val="center"/>
        <w:rPr>
          <w:rFonts w:ascii="黑体" w:hAnsi="Times New Roman" w:eastAsia="黑体" w:cs="Times New Roman"/>
          <w:kern w:val="0"/>
          <w:szCs w:val="21"/>
        </w:rPr>
      </w:pPr>
      <w:r>
        <w:rPr>
          <w:rFonts w:hint="eastAsia" w:ascii="黑体" w:hAnsi="Times New Roman" w:eastAsia="黑体" w:cs="Times New Roman"/>
          <w:kern w:val="0"/>
          <w:szCs w:val="21"/>
        </w:rPr>
        <w:t>（资料性附录）</w:t>
      </w:r>
    </w:p>
    <w:p w14:paraId="0E01AFC6">
      <w:pPr>
        <w:spacing w:line="400" w:lineRule="atLeast"/>
        <w:contextualSpacing/>
        <w:jc w:val="center"/>
        <w:rPr>
          <w:rFonts w:ascii="黑体" w:hAnsi="Times New Roman" w:eastAsia="黑体" w:cs="Times New Roman"/>
          <w:kern w:val="0"/>
          <w:szCs w:val="21"/>
        </w:rPr>
      </w:pPr>
      <w:r>
        <w:rPr>
          <w:rFonts w:hint="eastAsia" w:ascii="黑体" w:hAnsi="Times New Roman" w:eastAsia="黑体" w:cs="Times New Roman"/>
          <w:kern w:val="0"/>
          <w:szCs w:val="21"/>
        </w:rPr>
        <w:t>北方地区绿色食品露地丝瓜生产主要病虫害防治推荐农药使用方案</w:t>
      </w:r>
    </w:p>
    <w:p w14:paraId="15001E09">
      <w:pPr>
        <w:spacing w:line="400" w:lineRule="atLeast"/>
        <w:ind w:firstLine="420" w:firstLineChars="200"/>
        <w:contextualSpacing/>
        <w:jc w:val="center"/>
        <w:rPr>
          <w:rFonts w:ascii="黑体" w:hAnsi="Times New Roman" w:eastAsia="黑体" w:cs="Times New Roman"/>
          <w:kern w:val="0"/>
          <w:szCs w:val="21"/>
        </w:rPr>
      </w:pPr>
    </w:p>
    <w:p w14:paraId="61038A2D">
      <w:pPr>
        <w:spacing w:line="400" w:lineRule="atLeast"/>
        <w:ind w:firstLine="420" w:firstLineChars="200"/>
        <w:contextualSpacing/>
        <w:jc w:val="left"/>
        <w:rPr>
          <w:rFonts w:cs="Times New Roman" w:asciiTheme="minorEastAsia" w:hAnsiTheme="minorEastAsia"/>
          <w:kern w:val="0"/>
          <w:szCs w:val="21"/>
        </w:rPr>
      </w:pPr>
      <w:r>
        <w:rPr>
          <w:rFonts w:hint="eastAsia" w:cs="Times New Roman" w:asciiTheme="minorEastAsia" w:hAnsiTheme="minorEastAsia"/>
          <w:kern w:val="0"/>
          <w:szCs w:val="21"/>
        </w:rPr>
        <w:t>北方地区绿色食品露地丝瓜生产主要病虫害防治推荐农药使用方案见表A.1。</w:t>
      </w:r>
    </w:p>
    <w:p w14:paraId="7F65FCD7">
      <w:pPr>
        <w:spacing w:line="400" w:lineRule="atLeast"/>
        <w:ind w:firstLine="420" w:firstLineChars="200"/>
        <w:contextualSpacing/>
        <w:jc w:val="center"/>
        <w:rPr>
          <w:rFonts w:ascii="黑体" w:hAnsi="Times New Roman" w:eastAsia="黑体" w:cs="Times New Roman"/>
          <w:kern w:val="0"/>
          <w:szCs w:val="21"/>
        </w:rPr>
      </w:pPr>
      <w:r>
        <w:rPr>
          <w:rFonts w:hint="eastAsia" w:ascii="黑体" w:hAnsi="Times New Roman" w:eastAsia="黑体" w:cs="Times New Roman"/>
          <w:kern w:val="0"/>
          <w:szCs w:val="21"/>
        </w:rPr>
        <w:t>表A.1 北方地区绿色食品露地丝瓜生产主要病虫害防治推荐农药使用方案</w:t>
      </w:r>
    </w:p>
    <w:tbl>
      <w:tblPr>
        <w:tblStyle w:val="7"/>
        <w:tblW w:w="8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1729"/>
        <w:gridCol w:w="2424"/>
        <w:gridCol w:w="1566"/>
        <w:gridCol w:w="1072"/>
        <w:gridCol w:w="993"/>
      </w:tblGrid>
      <w:tr w14:paraId="19AB96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dxa"/>
            <w:vAlign w:val="center"/>
          </w:tcPr>
          <w:p w14:paraId="122F323B">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防治对象</w:t>
            </w:r>
          </w:p>
        </w:tc>
        <w:tc>
          <w:tcPr>
            <w:tcW w:w="1729" w:type="dxa"/>
            <w:vAlign w:val="center"/>
          </w:tcPr>
          <w:p w14:paraId="0B22641A">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防治时期</w:t>
            </w:r>
          </w:p>
        </w:tc>
        <w:tc>
          <w:tcPr>
            <w:tcW w:w="2424" w:type="dxa"/>
            <w:vAlign w:val="center"/>
          </w:tcPr>
          <w:p w14:paraId="76ACF9DC">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农药名称</w:t>
            </w:r>
          </w:p>
        </w:tc>
        <w:tc>
          <w:tcPr>
            <w:tcW w:w="1566" w:type="dxa"/>
            <w:vAlign w:val="center"/>
          </w:tcPr>
          <w:p w14:paraId="251ABAF7">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使用量</w:t>
            </w:r>
          </w:p>
        </w:tc>
        <w:tc>
          <w:tcPr>
            <w:tcW w:w="1072" w:type="dxa"/>
            <w:vAlign w:val="center"/>
          </w:tcPr>
          <w:p w14:paraId="574381A8">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使用方法</w:t>
            </w:r>
          </w:p>
        </w:tc>
        <w:tc>
          <w:tcPr>
            <w:tcW w:w="993" w:type="dxa"/>
            <w:vAlign w:val="center"/>
          </w:tcPr>
          <w:p w14:paraId="557DFA7E">
            <w:pPr>
              <w:widowControl/>
              <w:adjustRightInd w:val="0"/>
              <w:snapToGrid w:val="0"/>
              <w:jc w:val="center"/>
              <w:rPr>
                <w:rFonts w:asciiTheme="minorEastAsia" w:hAnsiTheme="minorEastAsia" w:cstheme="minorEastAsia"/>
                <w:b/>
                <w:color w:val="000000"/>
                <w:kern w:val="0"/>
                <w:sz w:val="18"/>
                <w:szCs w:val="18"/>
              </w:rPr>
            </w:pPr>
            <w:r>
              <w:rPr>
                <w:rFonts w:hint="eastAsia" w:asciiTheme="minorEastAsia" w:hAnsiTheme="minorEastAsia" w:cstheme="minorEastAsia"/>
                <w:b/>
                <w:color w:val="000000"/>
                <w:kern w:val="0"/>
                <w:sz w:val="18"/>
                <w:szCs w:val="18"/>
              </w:rPr>
              <w:t>安全间隔期（天）</w:t>
            </w:r>
          </w:p>
        </w:tc>
      </w:tr>
      <w:tr w14:paraId="4C264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dxa"/>
            <w:vMerge w:val="restart"/>
            <w:vAlign w:val="center"/>
          </w:tcPr>
          <w:p w14:paraId="27A21BF9">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白粉病</w:t>
            </w:r>
          </w:p>
        </w:tc>
        <w:tc>
          <w:tcPr>
            <w:tcW w:w="1729" w:type="dxa"/>
            <w:vMerge w:val="restart"/>
            <w:vAlign w:val="center"/>
          </w:tcPr>
          <w:p w14:paraId="2B8C67E0">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发病初期</w:t>
            </w:r>
          </w:p>
        </w:tc>
        <w:tc>
          <w:tcPr>
            <w:tcW w:w="2424" w:type="dxa"/>
            <w:vAlign w:val="center"/>
          </w:tcPr>
          <w:p w14:paraId="3D6FFAA3">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30％吡唑醚菌酯悬浮剂</w:t>
            </w:r>
          </w:p>
        </w:tc>
        <w:tc>
          <w:tcPr>
            <w:tcW w:w="1566" w:type="dxa"/>
            <w:vAlign w:val="center"/>
          </w:tcPr>
          <w:p w14:paraId="517FD820">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17～33mL/亩</w:t>
            </w:r>
          </w:p>
        </w:tc>
        <w:tc>
          <w:tcPr>
            <w:tcW w:w="1072" w:type="dxa"/>
            <w:vAlign w:val="center"/>
          </w:tcPr>
          <w:p w14:paraId="6254B314">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993" w:type="dxa"/>
            <w:vAlign w:val="center"/>
          </w:tcPr>
          <w:p w14:paraId="340DA0D9">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5</w:t>
            </w:r>
          </w:p>
        </w:tc>
      </w:tr>
      <w:tr w14:paraId="1032A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dxa"/>
            <w:vMerge w:val="continue"/>
            <w:vAlign w:val="center"/>
          </w:tcPr>
          <w:p w14:paraId="5F6B8489">
            <w:pPr>
              <w:widowControl/>
              <w:adjustRightInd w:val="0"/>
              <w:snapToGrid w:val="0"/>
              <w:jc w:val="center"/>
              <w:rPr>
                <w:rFonts w:asciiTheme="minorEastAsia" w:hAnsiTheme="minorEastAsia" w:cstheme="minorEastAsia"/>
                <w:color w:val="000000"/>
                <w:kern w:val="0"/>
                <w:sz w:val="18"/>
                <w:szCs w:val="18"/>
              </w:rPr>
            </w:pPr>
          </w:p>
        </w:tc>
        <w:tc>
          <w:tcPr>
            <w:tcW w:w="1729" w:type="dxa"/>
            <w:vMerge w:val="continue"/>
            <w:vAlign w:val="center"/>
          </w:tcPr>
          <w:p w14:paraId="1929F67D">
            <w:pPr>
              <w:widowControl/>
              <w:adjustRightInd w:val="0"/>
              <w:snapToGrid w:val="0"/>
              <w:jc w:val="center"/>
              <w:rPr>
                <w:rFonts w:asciiTheme="minorEastAsia" w:hAnsiTheme="minorEastAsia" w:cstheme="minorEastAsia"/>
                <w:color w:val="000000"/>
                <w:kern w:val="0"/>
                <w:sz w:val="18"/>
                <w:szCs w:val="18"/>
              </w:rPr>
            </w:pPr>
          </w:p>
        </w:tc>
        <w:tc>
          <w:tcPr>
            <w:tcW w:w="2424" w:type="dxa"/>
            <w:vAlign w:val="center"/>
          </w:tcPr>
          <w:p w14:paraId="14BA286B">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10%苯醚甲环唑水分散粒剂</w:t>
            </w:r>
          </w:p>
        </w:tc>
        <w:tc>
          <w:tcPr>
            <w:tcW w:w="1566" w:type="dxa"/>
            <w:vAlign w:val="center"/>
          </w:tcPr>
          <w:p w14:paraId="02A5520F">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60～80g/亩</w:t>
            </w:r>
          </w:p>
        </w:tc>
        <w:tc>
          <w:tcPr>
            <w:tcW w:w="1072" w:type="dxa"/>
            <w:vAlign w:val="center"/>
          </w:tcPr>
          <w:p w14:paraId="6A210222">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993" w:type="dxa"/>
            <w:vAlign w:val="center"/>
          </w:tcPr>
          <w:p w14:paraId="78D9AB30">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7</w:t>
            </w:r>
          </w:p>
        </w:tc>
      </w:tr>
      <w:tr w14:paraId="3D218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975" w:type="dxa"/>
            <w:vMerge w:val="restart"/>
            <w:vAlign w:val="center"/>
          </w:tcPr>
          <w:p w14:paraId="56C239B5">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霜霉病</w:t>
            </w:r>
          </w:p>
        </w:tc>
        <w:tc>
          <w:tcPr>
            <w:tcW w:w="1729" w:type="dxa"/>
            <w:vAlign w:val="center"/>
          </w:tcPr>
          <w:p w14:paraId="1A0EBECE">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发病初期</w:t>
            </w:r>
          </w:p>
        </w:tc>
        <w:tc>
          <w:tcPr>
            <w:tcW w:w="2424" w:type="dxa"/>
            <w:shd w:val="clear" w:color="auto" w:fill="auto"/>
            <w:vAlign w:val="center"/>
          </w:tcPr>
          <w:p w14:paraId="7B2051F1">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250g/L嘧菌酯悬浮剂</w:t>
            </w:r>
          </w:p>
        </w:tc>
        <w:tc>
          <w:tcPr>
            <w:tcW w:w="1566" w:type="dxa"/>
            <w:shd w:val="clear" w:color="auto" w:fill="auto"/>
            <w:vAlign w:val="center"/>
          </w:tcPr>
          <w:p w14:paraId="3C4A52A5">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48～90mL/亩</w:t>
            </w:r>
          </w:p>
        </w:tc>
        <w:tc>
          <w:tcPr>
            <w:tcW w:w="1072" w:type="dxa"/>
            <w:shd w:val="clear" w:color="auto" w:fill="auto"/>
            <w:vAlign w:val="center"/>
          </w:tcPr>
          <w:p w14:paraId="735A4303">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993" w:type="dxa"/>
            <w:shd w:val="clear" w:color="auto" w:fill="auto"/>
            <w:vAlign w:val="center"/>
          </w:tcPr>
          <w:p w14:paraId="347A4854">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7</w:t>
            </w:r>
          </w:p>
        </w:tc>
      </w:tr>
      <w:tr w14:paraId="51353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975" w:type="dxa"/>
            <w:vMerge w:val="continue"/>
            <w:vAlign w:val="center"/>
          </w:tcPr>
          <w:p w14:paraId="5E187AAB">
            <w:pPr>
              <w:widowControl/>
              <w:adjustRightInd w:val="0"/>
              <w:snapToGrid w:val="0"/>
              <w:jc w:val="center"/>
              <w:rPr>
                <w:rFonts w:asciiTheme="minorEastAsia" w:hAnsiTheme="minorEastAsia" w:cstheme="minorEastAsia"/>
                <w:color w:val="000000"/>
                <w:kern w:val="0"/>
                <w:sz w:val="18"/>
                <w:szCs w:val="18"/>
              </w:rPr>
            </w:pPr>
          </w:p>
        </w:tc>
        <w:tc>
          <w:tcPr>
            <w:tcW w:w="1729" w:type="dxa"/>
            <w:vAlign w:val="center"/>
          </w:tcPr>
          <w:p w14:paraId="799BF65A">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发病初期</w:t>
            </w:r>
          </w:p>
        </w:tc>
        <w:tc>
          <w:tcPr>
            <w:tcW w:w="2424" w:type="dxa"/>
            <w:shd w:val="clear" w:color="auto" w:fill="auto"/>
            <w:vAlign w:val="center"/>
          </w:tcPr>
          <w:p w14:paraId="26BF7A86">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33%唑醚·锰锌</w:t>
            </w:r>
            <w:r>
              <w:rPr>
                <w:rFonts w:ascii="Helvetica" w:hAnsi="Helvetica"/>
                <w:color w:val="333333"/>
                <w:sz w:val="18"/>
                <w:szCs w:val="18"/>
                <w:shd w:val="clear" w:color="auto" w:fill="FFFFFF"/>
              </w:rPr>
              <w:t>悬浮剂</w:t>
            </w:r>
          </w:p>
        </w:tc>
        <w:tc>
          <w:tcPr>
            <w:tcW w:w="1566" w:type="dxa"/>
            <w:shd w:val="clear" w:color="auto" w:fill="auto"/>
            <w:vAlign w:val="center"/>
          </w:tcPr>
          <w:p w14:paraId="7A1065F9">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100～140mL/亩</w:t>
            </w:r>
          </w:p>
        </w:tc>
        <w:tc>
          <w:tcPr>
            <w:tcW w:w="1072" w:type="dxa"/>
            <w:shd w:val="clear" w:color="auto" w:fill="auto"/>
            <w:vAlign w:val="center"/>
          </w:tcPr>
          <w:p w14:paraId="14E01AF5">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993" w:type="dxa"/>
            <w:shd w:val="clear" w:color="auto" w:fill="auto"/>
            <w:vAlign w:val="center"/>
          </w:tcPr>
          <w:p w14:paraId="6D8E9B24">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7</w:t>
            </w:r>
          </w:p>
        </w:tc>
      </w:tr>
      <w:tr w14:paraId="6D075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dxa"/>
            <w:vAlign w:val="center"/>
          </w:tcPr>
          <w:p w14:paraId="71D5662D">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炭疽病</w:t>
            </w:r>
          </w:p>
        </w:tc>
        <w:tc>
          <w:tcPr>
            <w:tcW w:w="1729" w:type="dxa"/>
            <w:vAlign w:val="center"/>
          </w:tcPr>
          <w:p w14:paraId="7E3B5293">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发病初期</w:t>
            </w:r>
          </w:p>
        </w:tc>
        <w:tc>
          <w:tcPr>
            <w:tcW w:w="2424" w:type="dxa"/>
            <w:vAlign w:val="center"/>
          </w:tcPr>
          <w:p w14:paraId="183F6190">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25%吡唑醚菌酯悬浮剂</w:t>
            </w:r>
          </w:p>
        </w:tc>
        <w:tc>
          <w:tcPr>
            <w:tcW w:w="1566" w:type="dxa"/>
            <w:vAlign w:val="center"/>
          </w:tcPr>
          <w:p w14:paraId="14799F97">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30～40mL/亩</w:t>
            </w:r>
          </w:p>
        </w:tc>
        <w:tc>
          <w:tcPr>
            <w:tcW w:w="1072" w:type="dxa"/>
            <w:vAlign w:val="center"/>
          </w:tcPr>
          <w:p w14:paraId="744150ED">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993" w:type="dxa"/>
            <w:vAlign w:val="center"/>
          </w:tcPr>
          <w:p w14:paraId="169547A7">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7</w:t>
            </w:r>
          </w:p>
        </w:tc>
      </w:tr>
      <w:tr w14:paraId="381EB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dxa"/>
            <w:vAlign w:val="center"/>
          </w:tcPr>
          <w:p w14:paraId="0E1A64F5">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潜叶蝇</w:t>
            </w:r>
          </w:p>
        </w:tc>
        <w:tc>
          <w:tcPr>
            <w:tcW w:w="1729" w:type="dxa"/>
            <w:vAlign w:val="center"/>
          </w:tcPr>
          <w:p w14:paraId="36109C35">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卵孵盛期到低龄幼虫盛期</w:t>
            </w:r>
          </w:p>
        </w:tc>
        <w:tc>
          <w:tcPr>
            <w:tcW w:w="2424" w:type="dxa"/>
            <w:vAlign w:val="center"/>
          </w:tcPr>
          <w:p w14:paraId="6F86B191">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25%噻虫嗪悬浮剂</w:t>
            </w:r>
          </w:p>
        </w:tc>
        <w:tc>
          <w:tcPr>
            <w:tcW w:w="1566" w:type="dxa"/>
            <w:vAlign w:val="center"/>
          </w:tcPr>
          <w:p w14:paraId="7FDDCD03">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23～30g/亩</w:t>
            </w:r>
          </w:p>
        </w:tc>
        <w:tc>
          <w:tcPr>
            <w:tcW w:w="1072" w:type="dxa"/>
            <w:vAlign w:val="center"/>
          </w:tcPr>
          <w:p w14:paraId="22D4AE40">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993" w:type="dxa"/>
            <w:vAlign w:val="center"/>
          </w:tcPr>
          <w:p w14:paraId="17233101">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7</w:t>
            </w:r>
          </w:p>
        </w:tc>
      </w:tr>
      <w:tr w14:paraId="22D51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75" w:type="dxa"/>
            <w:vAlign w:val="center"/>
          </w:tcPr>
          <w:p w14:paraId="3E75C167">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蓟马</w:t>
            </w:r>
          </w:p>
        </w:tc>
        <w:tc>
          <w:tcPr>
            <w:tcW w:w="1729" w:type="dxa"/>
            <w:vAlign w:val="center"/>
          </w:tcPr>
          <w:p w14:paraId="68522FE8">
            <w:pPr>
              <w:widowControl/>
              <w:adjustRightInd w:val="0"/>
              <w:snapToGrid w:val="0"/>
              <w:jc w:val="center"/>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若虫发生初期</w:t>
            </w:r>
          </w:p>
        </w:tc>
        <w:tc>
          <w:tcPr>
            <w:tcW w:w="2424" w:type="dxa"/>
            <w:vAlign w:val="center"/>
          </w:tcPr>
          <w:p w14:paraId="4A587821">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0.5%苦参碱水剂</w:t>
            </w:r>
          </w:p>
        </w:tc>
        <w:tc>
          <w:tcPr>
            <w:tcW w:w="1566" w:type="dxa"/>
            <w:vAlign w:val="center"/>
          </w:tcPr>
          <w:p w14:paraId="47C6B0B8">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100～120ml/亩</w:t>
            </w:r>
          </w:p>
        </w:tc>
        <w:tc>
          <w:tcPr>
            <w:tcW w:w="1072" w:type="dxa"/>
            <w:vAlign w:val="center"/>
          </w:tcPr>
          <w:p w14:paraId="1FE67E3D">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喷雾</w:t>
            </w:r>
          </w:p>
        </w:tc>
        <w:tc>
          <w:tcPr>
            <w:tcW w:w="993" w:type="dxa"/>
            <w:vAlign w:val="center"/>
          </w:tcPr>
          <w:p w14:paraId="7EEB14E4">
            <w:pPr>
              <w:widowControl/>
              <w:adjustRightInd w:val="0"/>
              <w:snapToGrid w:val="0"/>
              <w:jc w:val="center"/>
              <w:rPr>
                <w:rFonts w:asciiTheme="minorEastAsia" w:hAnsiTheme="minorEastAsia" w:cstheme="minorEastAsia"/>
                <w:kern w:val="0"/>
                <w:sz w:val="18"/>
                <w:szCs w:val="18"/>
              </w:rPr>
            </w:pPr>
            <w:r>
              <w:rPr>
                <w:rFonts w:hint="eastAsia" w:asciiTheme="minorEastAsia" w:hAnsiTheme="minorEastAsia" w:cstheme="minorEastAsia"/>
                <w:kern w:val="0"/>
                <w:sz w:val="18"/>
                <w:szCs w:val="18"/>
              </w:rPr>
              <w:t>—</w:t>
            </w:r>
          </w:p>
        </w:tc>
      </w:tr>
      <w:tr w14:paraId="6A012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59" w:type="dxa"/>
            <w:gridSpan w:val="6"/>
            <w:vAlign w:val="center"/>
          </w:tcPr>
          <w:p w14:paraId="35999698">
            <w:pPr>
              <w:widowControl/>
              <w:adjustRightInd w:val="0"/>
              <w:snapToGrid w:val="0"/>
              <w:rPr>
                <w:rFonts w:asciiTheme="minorEastAsia" w:hAnsiTheme="minorEastAsia" w:cstheme="minorEastAsia"/>
                <w:color w:val="000000"/>
                <w:kern w:val="0"/>
                <w:sz w:val="18"/>
                <w:szCs w:val="18"/>
              </w:rPr>
            </w:pPr>
            <w:r>
              <w:rPr>
                <w:rFonts w:hint="eastAsia" w:asciiTheme="minorEastAsia" w:hAnsiTheme="minorEastAsia" w:cstheme="minorEastAsia"/>
                <w:color w:val="000000"/>
                <w:kern w:val="0"/>
                <w:sz w:val="18"/>
                <w:szCs w:val="18"/>
              </w:rPr>
              <w:t>注：农药使用应以最新版本NY/T 393的规定为准。</w:t>
            </w:r>
          </w:p>
        </w:tc>
      </w:tr>
    </w:tbl>
    <w:p w14:paraId="6B26DDA5">
      <w:pPr>
        <w:spacing w:line="400" w:lineRule="atLeast"/>
        <w:ind w:firstLine="420" w:firstLineChars="200"/>
        <w:contextualSpacing/>
        <w:jc w:val="center"/>
        <w:rPr>
          <w:rFonts w:ascii="黑体" w:hAnsi="Times New Roman" w:eastAsia="黑体" w:cs="Times New Roman"/>
          <w:kern w:val="0"/>
          <w:szCs w:val="21"/>
        </w:rPr>
      </w:pPr>
    </w:p>
    <w:p w14:paraId="70DD8CCC">
      <w:pPr>
        <w:spacing w:line="400" w:lineRule="atLeast"/>
        <w:ind w:firstLine="420" w:firstLineChars="200"/>
        <w:contextualSpacing/>
        <w:rPr>
          <w:rFonts w:ascii="宋体" w:hAnsi="宋体" w:cs="宋体"/>
          <w:color w:val="FF0000"/>
          <w:szCs w:val="21"/>
        </w:rPr>
      </w:pPr>
      <w:r>
        <w:rPr>
          <w:rFonts w:ascii="宋体" w:hAnsi="宋体" w:cs="宋体"/>
          <w:color w:val="FF0000"/>
          <w:szCs w:val="21"/>
        </w:rPr>
        <mc:AlternateContent>
          <mc:Choice Requires="wps">
            <w:drawing>
              <wp:anchor distT="0" distB="0" distL="114300" distR="114300" simplePos="0" relativeHeight="251662336" behindDoc="0" locked="0" layoutInCell="1" allowOverlap="1">
                <wp:simplePos x="0" y="0"/>
                <wp:positionH relativeFrom="column">
                  <wp:posOffset>1492250</wp:posOffset>
                </wp:positionH>
                <wp:positionV relativeFrom="paragraph">
                  <wp:posOffset>217170</wp:posOffset>
                </wp:positionV>
                <wp:extent cx="2165350" cy="0"/>
                <wp:effectExtent l="0" t="0" r="25400" b="19050"/>
                <wp:wrapNone/>
                <wp:docPr id="4" name="直接连接符 4"/>
                <wp:cNvGraphicFramePr/>
                <a:graphic xmlns:a="http://schemas.openxmlformats.org/drawingml/2006/main">
                  <a:graphicData uri="http://schemas.microsoft.com/office/word/2010/wordprocessingShape">
                    <wps:wsp>
                      <wps:cNvCnPr/>
                      <wps:spPr>
                        <a:xfrm>
                          <a:off x="0" y="0"/>
                          <a:ext cx="2165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17.5pt;margin-top:17.1pt;height:0pt;width:170.5pt;z-index:251662336;mso-width-relative:page;mso-height-relative:page;" filled="f" stroked="t" coordsize="21600,21600" o:gfxdata="UEsDBAoAAAAAAIdO4kAAAAAAAAAAAAAAAAAEAAAAZHJzL1BLAwQUAAAACACHTuJAkFGP8dcAAAAJ&#10;AQAADwAAAGRycy9kb3ducmV2LnhtbE2PvU7DQBCEeyTe4bRINFFyjk0CMj6nANzREEBpN77FtvDt&#10;Ob7LDzw9i1JAubOjmW+K1cn16kBj6DwbmM8SUMS1tx03Bt5eq+kdqBCRLfaeycAXBViVlxcF5tYf&#10;+YUO69goCeGQo4E2xiHXOtQtOQwzPxDL78OPDqOcY6PtiEcJd71Ok2SpHXYsDS0O9NBS/bneOwOh&#10;eqdd9T2pJ8kmazylu8fnJzTm+mqe3IOKdIp/ZvjFF3QohWnr92yD6g2k2UK2RAPZTQpKDIvbpQjb&#10;s6DLQv9fUP4AUEsDBBQAAAAIAIdO4kA662Wq2AEAAJoDAAAOAAAAZHJzL2Uyb0RvYy54bWytU81u&#10;EzEQviPxDpbvZJPQVLDKpodG5YIgEvAAE6+9a8l/8rjZ5CV4ASRucOLInbehPAZjZ5tCe+mhOTjj&#10;mc/f+Ps8u7zYW8N2MqL2ruGzyZQz6YRvtesa/unj1YtXnGEC14LxTjb8IJFfrJ4/Ww6hlnPfe9PK&#10;yIjEYT2EhvcphbqqUPTSAk58kI6KykcLibaxq9oIA7FbU82n0/Nq8LEN0QuJSNn1schHxvgYQq+U&#10;FnLtxbWVLh1ZozSQSBL2OiBfldsqJUV6rxTKxEzDSWkqKzWheJvXarWEuosQei3GK8BjrnBPkwXt&#10;qOmJag0J2HXUD6isFtGjV2kivK2OQoojpGI2vefNhx6CLFrIagwn0/HpaMW73SYy3Tb8jDMHlh78&#10;5svP35+//fn1ldabH9/ZWTZpCFgT9tJt4rjDsIlZ8V5Fm/9JC9sXYw8nY+U+MUHJ+ex88XJBnovb&#10;WnV3MERMb6S3LAcNN9plzVDD7i0makbQW0hOO3+ljSnvZhwbGv56MV8QM9AsKpoBCm0gPeg6zsB0&#10;NOQixcKI3ug2n848GLvtpYlsB3k0yi8LpW7/wXLrNWB/xJXSCDOO0NmXoxM52vr2UAwqeXqywjeO&#10;V56Jf/fl9N0ntfoL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kFGP8dcAAAAJAQAADwAAAAAAAAAB&#10;ACAAAAAiAAAAZHJzL2Rvd25yZXYueG1sUEsBAhQAFAAAAAgAh07iQDrrZarYAQAAmgMAAA4AAAAA&#10;AAAAAQAgAAAAJgEAAGRycy9lMm9Eb2MueG1sUEsFBgAAAAAGAAYAWQEAAHAFAAAAAA==&#10;">
                <v:fill on="f" focussize="0,0"/>
                <v:stroke color="#000000 [3213]" joinstyle="round"/>
                <v:imagedata o:title=""/>
                <o:lock v:ext="edit" aspectratio="f"/>
              </v:line>
            </w:pict>
          </mc:Fallback>
        </mc:AlternateContent>
      </w:r>
    </w:p>
    <w:p w14:paraId="68841AD0">
      <w:pPr>
        <w:spacing w:line="400" w:lineRule="atLeast"/>
        <w:ind w:firstLine="420" w:firstLineChars="200"/>
        <w:contextualSpacing/>
        <w:rPr>
          <w:rFonts w:ascii="宋体" w:hAnsi="宋体" w:cs="宋体"/>
          <w:color w:val="FF0000"/>
          <w:szCs w:val="21"/>
        </w:rPr>
      </w:pPr>
    </w:p>
    <w:sectPr>
      <w:footerReference r:id="rId6" w:type="default"/>
      <w:footerReference r:id="rId7" w:type="even"/>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1"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47147318"/>
      <w:docPartObj>
        <w:docPartGallery w:val="AutoText"/>
      </w:docPartObj>
    </w:sdtPr>
    <w:sdtContent>
      <w:p w14:paraId="15A106F1">
        <w:pPr>
          <w:pStyle w:val="5"/>
          <w:jc w:val="right"/>
        </w:pPr>
        <w:r>
          <w:fldChar w:fldCharType="begin"/>
        </w:r>
        <w:r>
          <w:instrText xml:space="preserve">PAGE   \* MERGEFORMAT</w:instrText>
        </w:r>
        <w:r>
          <w:fldChar w:fldCharType="separate"/>
        </w:r>
        <w:r>
          <w:rPr>
            <w:lang w:val="zh-CN"/>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76625484"/>
      <w:docPartObj>
        <w:docPartGallery w:val="AutoText"/>
      </w:docPartObj>
    </w:sdtPr>
    <w:sdtContent>
      <w:p w14:paraId="319E7AB9">
        <w:pPr>
          <w:pStyle w:val="5"/>
        </w:pPr>
        <w:r>
          <w:fldChar w:fldCharType="begin"/>
        </w:r>
        <w:r>
          <w:instrText xml:space="preserve">PAGE   \* MERGEFORMAT</w:instrText>
        </w:r>
        <w:r>
          <w:fldChar w:fldCharType="separate"/>
        </w:r>
        <w:r>
          <w:rPr>
            <w:lang w:val="zh-CN"/>
          </w:rPr>
          <w:t>6</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D22D8">
    <w:pPr>
      <w:pStyle w:val="6"/>
      <w:pBdr>
        <w:bottom w:val="none" w:color="auto" w:sz="0" w:space="0"/>
      </w:pBdr>
    </w:pPr>
    <w:r>
      <w:pict>
        <v:shape id="WordPictureWatermark25635755" o:spid="_x0000_s2051" o:spt="75" type="#_x0000_t75" style="position:absolute;left:0pt;height:387pt;width:415.2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C2C293">
    <w:pPr>
      <w:pStyle w:val="6"/>
      <w:pBdr>
        <w:bottom w:val="none" w:color="auto" w:sz="0" w:space="0"/>
      </w:pBdr>
    </w:pPr>
    <w:r>
      <w:pict>
        <v:shape id="WordPictureWatermark25635754" o:spid="_x0000_s2050" o:spt="75" type="#_x0000_t75" style="position:absolute;left:0pt;height:387pt;width:415.2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6A4B1E">
    <w:pPr>
      <w:pStyle w:val="6"/>
    </w:pPr>
    <w:r>
      <w:pict>
        <v:shape id="WordPictureWatermark25635753" o:spid="_x0000_s2049" o:spt="75" type="#_x0000_t75" style="position:absolute;left:0pt;height:387pt;width:415.2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8"/>
      <w:suff w:val="nothing"/>
      <w:lvlText w:val="%1%2　"/>
      <w:lvlJc w:val="left"/>
      <w:pPr>
        <w:ind w:left="0" w:firstLine="0"/>
      </w:pPr>
      <w:rPr>
        <w:rFonts w:hint="eastAsia" w:ascii="黑体" w:eastAsia="黑体"/>
        <w:b w:val="0"/>
        <w:i w:val="0"/>
        <w:sz w:val="21"/>
      </w:rPr>
    </w:lvl>
    <w:lvl w:ilvl="2" w:tentative="0">
      <w:start w:val="1"/>
      <w:numFmt w:val="decimal"/>
      <w:pStyle w:val="20"/>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21"/>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367D81"/>
    <w:rsid w:val="000078BA"/>
    <w:rsid w:val="00010D47"/>
    <w:rsid w:val="00032981"/>
    <w:rsid w:val="00041193"/>
    <w:rsid w:val="00047F36"/>
    <w:rsid w:val="00052D53"/>
    <w:rsid w:val="0007780A"/>
    <w:rsid w:val="000800AB"/>
    <w:rsid w:val="000945C0"/>
    <w:rsid w:val="000A3209"/>
    <w:rsid w:val="000B7837"/>
    <w:rsid w:val="000D6298"/>
    <w:rsid w:val="000D718D"/>
    <w:rsid w:val="001000D3"/>
    <w:rsid w:val="00101686"/>
    <w:rsid w:val="00102BAF"/>
    <w:rsid w:val="00105133"/>
    <w:rsid w:val="001214BA"/>
    <w:rsid w:val="00131E86"/>
    <w:rsid w:val="0014157B"/>
    <w:rsid w:val="00155F56"/>
    <w:rsid w:val="00164365"/>
    <w:rsid w:val="00166DC5"/>
    <w:rsid w:val="00173CA5"/>
    <w:rsid w:val="00193CD9"/>
    <w:rsid w:val="00196F6A"/>
    <w:rsid w:val="001A7B9E"/>
    <w:rsid w:val="001C7D6C"/>
    <w:rsid w:val="001D1D92"/>
    <w:rsid w:val="001D33B6"/>
    <w:rsid w:val="001D426D"/>
    <w:rsid w:val="001E1AE2"/>
    <w:rsid w:val="001E5770"/>
    <w:rsid w:val="002122A5"/>
    <w:rsid w:val="00230059"/>
    <w:rsid w:val="00245B5E"/>
    <w:rsid w:val="00246596"/>
    <w:rsid w:val="00256B35"/>
    <w:rsid w:val="00273CF5"/>
    <w:rsid w:val="00285292"/>
    <w:rsid w:val="002A6F99"/>
    <w:rsid w:val="003415A1"/>
    <w:rsid w:val="00343081"/>
    <w:rsid w:val="003568E3"/>
    <w:rsid w:val="00367D81"/>
    <w:rsid w:val="0038067B"/>
    <w:rsid w:val="00380E97"/>
    <w:rsid w:val="003B5258"/>
    <w:rsid w:val="003E6EC0"/>
    <w:rsid w:val="003F5A29"/>
    <w:rsid w:val="00417A29"/>
    <w:rsid w:val="004228D4"/>
    <w:rsid w:val="00432245"/>
    <w:rsid w:val="00454821"/>
    <w:rsid w:val="00455D2C"/>
    <w:rsid w:val="004565C7"/>
    <w:rsid w:val="00457CF8"/>
    <w:rsid w:val="00467786"/>
    <w:rsid w:val="00497A20"/>
    <w:rsid w:val="004A057E"/>
    <w:rsid w:val="004B35FC"/>
    <w:rsid w:val="004E6B0C"/>
    <w:rsid w:val="005132CE"/>
    <w:rsid w:val="0051610C"/>
    <w:rsid w:val="00520F67"/>
    <w:rsid w:val="005308F9"/>
    <w:rsid w:val="0054418F"/>
    <w:rsid w:val="00567796"/>
    <w:rsid w:val="0057375F"/>
    <w:rsid w:val="005829FD"/>
    <w:rsid w:val="00596CA0"/>
    <w:rsid w:val="005974F1"/>
    <w:rsid w:val="005C46BA"/>
    <w:rsid w:val="005E3C8C"/>
    <w:rsid w:val="005E64EA"/>
    <w:rsid w:val="005F0760"/>
    <w:rsid w:val="005F4A93"/>
    <w:rsid w:val="00604633"/>
    <w:rsid w:val="0061200B"/>
    <w:rsid w:val="00615256"/>
    <w:rsid w:val="006158DB"/>
    <w:rsid w:val="0062721A"/>
    <w:rsid w:val="00630E82"/>
    <w:rsid w:val="00631D20"/>
    <w:rsid w:val="006325EF"/>
    <w:rsid w:val="006345B2"/>
    <w:rsid w:val="006435A3"/>
    <w:rsid w:val="006504A2"/>
    <w:rsid w:val="00651C91"/>
    <w:rsid w:val="00662C3A"/>
    <w:rsid w:val="00681E34"/>
    <w:rsid w:val="006858A4"/>
    <w:rsid w:val="006869AD"/>
    <w:rsid w:val="006954D0"/>
    <w:rsid w:val="006978E7"/>
    <w:rsid w:val="006A2525"/>
    <w:rsid w:val="006A63B2"/>
    <w:rsid w:val="006B17F4"/>
    <w:rsid w:val="006B3912"/>
    <w:rsid w:val="006C2BEB"/>
    <w:rsid w:val="006D093D"/>
    <w:rsid w:val="006D35E2"/>
    <w:rsid w:val="00700193"/>
    <w:rsid w:val="00700FC0"/>
    <w:rsid w:val="00724B8E"/>
    <w:rsid w:val="00725696"/>
    <w:rsid w:val="00731484"/>
    <w:rsid w:val="00732332"/>
    <w:rsid w:val="00752654"/>
    <w:rsid w:val="00756D94"/>
    <w:rsid w:val="00785411"/>
    <w:rsid w:val="0079482C"/>
    <w:rsid w:val="0079592B"/>
    <w:rsid w:val="007A22EC"/>
    <w:rsid w:val="007A73F2"/>
    <w:rsid w:val="007E13D0"/>
    <w:rsid w:val="007F1CFD"/>
    <w:rsid w:val="008110D4"/>
    <w:rsid w:val="00821B7A"/>
    <w:rsid w:val="0082296A"/>
    <w:rsid w:val="0084288F"/>
    <w:rsid w:val="00847ECE"/>
    <w:rsid w:val="0087766A"/>
    <w:rsid w:val="008854AF"/>
    <w:rsid w:val="008958B0"/>
    <w:rsid w:val="008A668F"/>
    <w:rsid w:val="008B21C1"/>
    <w:rsid w:val="008C39FC"/>
    <w:rsid w:val="008D461B"/>
    <w:rsid w:val="008F0A5B"/>
    <w:rsid w:val="008F50EB"/>
    <w:rsid w:val="00913274"/>
    <w:rsid w:val="009215EF"/>
    <w:rsid w:val="00922387"/>
    <w:rsid w:val="00936FEA"/>
    <w:rsid w:val="00937E7B"/>
    <w:rsid w:val="009427F5"/>
    <w:rsid w:val="0095593F"/>
    <w:rsid w:val="0098198E"/>
    <w:rsid w:val="009B07A8"/>
    <w:rsid w:val="009C0A33"/>
    <w:rsid w:val="009C537C"/>
    <w:rsid w:val="009C6010"/>
    <w:rsid w:val="009D7E39"/>
    <w:rsid w:val="00A0161D"/>
    <w:rsid w:val="00A1773A"/>
    <w:rsid w:val="00A17F74"/>
    <w:rsid w:val="00A25889"/>
    <w:rsid w:val="00A340F9"/>
    <w:rsid w:val="00A34658"/>
    <w:rsid w:val="00A36CF9"/>
    <w:rsid w:val="00A43012"/>
    <w:rsid w:val="00A62629"/>
    <w:rsid w:val="00A64515"/>
    <w:rsid w:val="00A72E9D"/>
    <w:rsid w:val="00AB4F20"/>
    <w:rsid w:val="00AB5C59"/>
    <w:rsid w:val="00AC5C18"/>
    <w:rsid w:val="00AE2894"/>
    <w:rsid w:val="00AE5AD4"/>
    <w:rsid w:val="00AF316F"/>
    <w:rsid w:val="00AF6722"/>
    <w:rsid w:val="00B02F32"/>
    <w:rsid w:val="00B209A8"/>
    <w:rsid w:val="00B34DAD"/>
    <w:rsid w:val="00B46084"/>
    <w:rsid w:val="00BB0EBC"/>
    <w:rsid w:val="00BD05CD"/>
    <w:rsid w:val="00BE7988"/>
    <w:rsid w:val="00BF1A85"/>
    <w:rsid w:val="00C024D2"/>
    <w:rsid w:val="00C07BEB"/>
    <w:rsid w:val="00C34BBE"/>
    <w:rsid w:val="00C47949"/>
    <w:rsid w:val="00C51050"/>
    <w:rsid w:val="00CB15C2"/>
    <w:rsid w:val="00CB1B6C"/>
    <w:rsid w:val="00CC33C2"/>
    <w:rsid w:val="00CD4220"/>
    <w:rsid w:val="00CE0E58"/>
    <w:rsid w:val="00CE1578"/>
    <w:rsid w:val="00CF341B"/>
    <w:rsid w:val="00D210EA"/>
    <w:rsid w:val="00D37D82"/>
    <w:rsid w:val="00D51A66"/>
    <w:rsid w:val="00D52195"/>
    <w:rsid w:val="00D57565"/>
    <w:rsid w:val="00D64BBE"/>
    <w:rsid w:val="00D87C01"/>
    <w:rsid w:val="00D9406B"/>
    <w:rsid w:val="00D959F7"/>
    <w:rsid w:val="00DA58CB"/>
    <w:rsid w:val="00DB5F95"/>
    <w:rsid w:val="00DB794E"/>
    <w:rsid w:val="00DD1F31"/>
    <w:rsid w:val="00DD5E9D"/>
    <w:rsid w:val="00DF54E8"/>
    <w:rsid w:val="00E05E44"/>
    <w:rsid w:val="00E14E64"/>
    <w:rsid w:val="00E27C9B"/>
    <w:rsid w:val="00E356A7"/>
    <w:rsid w:val="00E3661A"/>
    <w:rsid w:val="00E47A3F"/>
    <w:rsid w:val="00E562E0"/>
    <w:rsid w:val="00E569E7"/>
    <w:rsid w:val="00E672ED"/>
    <w:rsid w:val="00E85024"/>
    <w:rsid w:val="00E87BCB"/>
    <w:rsid w:val="00EA5940"/>
    <w:rsid w:val="00EB779F"/>
    <w:rsid w:val="00ED1761"/>
    <w:rsid w:val="00EE25C9"/>
    <w:rsid w:val="00EE2986"/>
    <w:rsid w:val="00EE3EDC"/>
    <w:rsid w:val="00EE64E9"/>
    <w:rsid w:val="00EF0B80"/>
    <w:rsid w:val="00EF44DE"/>
    <w:rsid w:val="00F003C5"/>
    <w:rsid w:val="00F02E60"/>
    <w:rsid w:val="00F06224"/>
    <w:rsid w:val="00F14D42"/>
    <w:rsid w:val="00F16630"/>
    <w:rsid w:val="00F30999"/>
    <w:rsid w:val="00F47B0A"/>
    <w:rsid w:val="00F51294"/>
    <w:rsid w:val="00F573FA"/>
    <w:rsid w:val="00F621BF"/>
    <w:rsid w:val="00F65F92"/>
    <w:rsid w:val="00F80539"/>
    <w:rsid w:val="00F824E5"/>
    <w:rsid w:val="00F836D7"/>
    <w:rsid w:val="00F838E9"/>
    <w:rsid w:val="00F86904"/>
    <w:rsid w:val="00F96F67"/>
    <w:rsid w:val="00FC07CD"/>
    <w:rsid w:val="00FD10B3"/>
    <w:rsid w:val="00FE22E1"/>
    <w:rsid w:val="00FE6BD2"/>
    <w:rsid w:val="05A15B0D"/>
    <w:rsid w:val="14605FEC"/>
    <w:rsid w:val="16557449"/>
    <w:rsid w:val="16F11CF1"/>
    <w:rsid w:val="1F557B39"/>
    <w:rsid w:val="28975B8B"/>
    <w:rsid w:val="2C594048"/>
    <w:rsid w:val="329F62B3"/>
    <w:rsid w:val="34CA4DDC"/>
    <w:rsid w:val="34F40D68"/>
    <w:rsid w:val="3BD40E88"/>
    <w:rsid w:val="3C530B0A"/>
    <w:rsid w:val="3DC61AA5"/>
    <w:rsid w:val="417A78C8"/>
    <w:rsid w:val="47175A8C"/>
    <w:rsid w:val="4A4F44B7"/>
    <w:rsid w:val="4AB32D6A"/>
    <w:rsid w:val="4BAB5CC5"/>
    <w:rsid w:val="51E33A96"/>
    <w:rsid w:val="55641368"/>
    <w:rsid w:val="5BD47001"/>
    <w:rsid w:val="5C9D45A9"/>
    <w:rsid w:val="5F223BC2"/>
    <w:rsid w:val="6472400E"/>
    <w:rsid w:val="6C8C244A"/>
    <w:rsid w:val="73A56EB2"/>
    <w:rsid w:val="774150D6"/>
    <w:rsid w:val="7EC80E13"/>
    <w:rsid w:val="CFFDF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ody Text Indent 2"/>
    <w:basedOn w:val="1"/>
    <w:link w:val="11"/>
    <w:qFormat/>
    <w:uiPriority w:val="0"/>
    <w:pPr>
      <w:spacing w:line="288" w:lineRule="auto"/>
      <w:ind w:firstLine="435"/>
    </w:pPr>
    <w:rPr>
      <w:rFonts w:ascii="Times New Roman" w:hAnsi="Times New Roman" w:eastAsia="宋体" w:cs="Times New Roman"/>
      <w:szCs w:val="21"/>
    </w:rPr>
  </w:style>
  <w:style w:type="paragraph" w:styleId="4">
    <w:name w:val="Balloon Text"/>
    <w:basedOn w:val="1"/>
    <w:link w:val="15"/>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paragraph" w:customStyle="1" w:styleId="10">
    <w:name w:val="列出段落1"/>
    <w:basedOn w:val="1"/>
    <w:qFormat/>
    <w:uiPriority w:val="0"/>
    <w:pPr>
      <w:ind w:firstLine="420" w:firstLineChars="200"/>
    </w:pPr>
    <w:rPr>
      <w:rFonts w:ascii="Times New Roman" w:hAnsi="Times New Roman" w:eastAsia="宋体" w:cs="Times New Roman"/>
      <w:szCs w:val="21"/>
    </w:rPr>
  </w:style>
  <w:style w:type="character" w:customStyle="1" w:styleId="11">
    <w:name w:val="正文文本缩进 2 Char"/>
    <w:basedOn w:val="8"/>
    <w:link w:val="3"/>
    <w:qFormat/>
    <w:uiPriority w:val="0"/>
    <w:rPr>
      <w:rFonts w:ascii="Times New Roman" w:hAnsi="Times New Roman" w:eastAsia="宋体" w:cs="Times New Roman"/>
      <w:szCs w:val="21"/>
    </w:rPr>
  </w:style>
  <w:style w:type="paragraph" w:styleId="12">
    <w:name w:val="List Paragraph"/>
    <w:basedOn w:val="1"/>
    <w:qFormat/>
    <w:uiPriority w:val="34"/>
    <w:pPr>
      <w:ind w:firstLine="420" w:firstLineChars="200"/>
    </w:pPr>
  </w:style>
  <w:style w:type="character" w:customStyle="1" w:styleId="13">
    <w:name w:val="页眉 Char"/>
    <w:basedOn w:val="8"/>
    <w:link w:val="6"/>
    <w:qFormat/>
    <w:uiPriority w:val="99"/>
    <w:rPr>
      <w:sz w:val="18"/>
      <w:szCs w:val="18"/>
    </w:rPr>
  </w:style>
  <w:style w:type="character" w:customStyle="1" w:styleId="14">
    <w:name w:val="页脚 Char"/>
    <w:basedOn w:val="8"/>
    <w:link w:val="5"/>
    <w:qFormat/>
    <w:uiPriority w:val="99"/>
    <w:rPr>
      <w:sz w:val="18"/>
      <w:szCs w:val="18"/>
    </w:rPr>
  </w:style>
  <w:style w:type="character" w:customStyle="1" w:styleId="15">
    <w:name w:val="批注框文本 Char"/>
    <w:basedOn w:val="8"/>
    <w:link w:val="4"/>
    <w:semiHidden/>
    <w:qFormat/>
    <w:uiPriority w:val="99"/>
    <w:rPr>
      <w:sz w:val="18"/>
      <w:szCs w:val="18"/>
    </w:rPr>
  </w:style>
  <w:style w:type="character" w:customStyle="1" w:styleId="16">
    <w:name w:val="日期 Char"/>
    <w:basedOn w:val="8"/>
    <w:link w:val="2"/>
    <w:semiHidden/>
    <w:qFormat/>
    <w:uiPriority w:val="99"/>
  </w:style>
  <w:style w:type="paragraph" w:customStyle="1" w:styleId="17">
    <w:name w:val="附录标识"/>
    <w:basedOn w:val="1"/>
    <w:next w:val="1"/>
    <w:qFormat/>
    <w:uiPriority w:val="0"/>
    <w:pPr>
      <w:keepNext/>
      <w:widowControl/>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18">
    <w:name w:val="标准文件_章标题"/>
    <w:next w:val="19"/>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0">
    <w:name w:val="标准文件_一级条标题"/>
    <w:basedOn w:val="18"/>
    <w:next w:val="19"/>
    <w:qFormat/>
    <w:uiPriority w:val="0"/>
    <w:pPr>
      <w:numPr>
        <w:ilvl w:val="2"/>
      </w:numPr>
      <w:spacing w:before="50" w:beforeLines="50" w:after="50" w:afterLines="50"/>
      <w:outlineLvl w:val="1"/>
    </w:pPr>
  </w:style>
  <w:style w:type="paragraph" w:customStyle="1" w:styleId="21">
    <w:name w:val="标准文件_二级条标题"/>
    <w:next w:val="19"/>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3945</Words>
  <Characters>4443</Characters>
  <Lines>33</Lines>
  <Paragraphs>9</Paragraphs>
  <TotalTime>1268</TotalTime>
  <ScaleCrop>false</ScaleCrop>
  <LinksUpToDate>false</LinksUpToDate>
  <CharactersWithSpaces>4516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2017-06-14T11:31:00Z</dcterms:created>
  <dc:creator>dell</dc:creator>
  <cp:lastModifiedBy>马雪</cp:lastModifiedBy>
  <cp:lastPrinted>2017-10-31T10:31:00Z</cp:lastPrinted>
  <dcterms:modified xsi:type="dcterms:W3CDTF">2025-04-03T08:48:42Z</dcterms:modified>
  <cp:revision>155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8992E83442194A699CB46A1268698354_13</vt:lpwstr>
  </property>
  <property fmtid="{D5CDD505-2E9C-101B-9397-08002B2CF9AE}" pid="4" name="KSOTemplateDocerSaveRecord">
    <vt:lpwstr>eyJoZGlkIjoiYzIyYzJkNzEzMjQwZjVlZDkxNjFjOTcxNmM5ZTUzYzAiLCJ1c2VySWQiOiI3MDQ5NzI3MjUifQ==</vt:lpwstr>
  </property>
</Properties>
</file>