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distribute"/>
        <w:rPr>
          <w:rFonts w:ascii="宋体" w:eastAsia="宋体" w:hAnsi="宋体" w:cs="宋体"/>
          <w:sz w:val="28"/>
          <w:szCs w:val="28"/>
        </w:rPr>
      </w:pP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4435CA" w:rsidRDefault="00C63579" w:rsidP="00DB1762">
      <w:pPr>
        <w:spacing w:beforeLines="50" w:before="156" w:afterLines="50" w:after="156" w:line="400" w:lineRule="atLeast"/>
        <w:ind w:left="357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4435CA" w:rsidRDefault="00C63579" w:rsidP="00DB1762">
      <w:pPr>
        <w:spacing w:beforeLines="50" w:before="156" w:afterLines="50" w:after="156" w:line="400" w:lineRule="atLeast"/>
        <w:ind w:left="357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L</w:t>
      </w:r>
      <w:r w:rsidRPr="00F05764">
        <w:rPr>
          <w:rFonts w:ascii="黑体" w:eastAsia="黑体" w:hAnsi="黑体" w:cs="宋体" w:hint="eastAsia"/>
          <w:sz w:val="28"/>
          <w:szCs w:val="28"/>
        </w:rPr>
        <w:t xml:space="preserve">B/T </w:t>
      </w:r>
      <w:r w:rsidR="00F05764" w:rsidRPr="00F05764">
        <w:rPr>
          <w:rFonts w:ascii="黑体" w:eastAsia="黑体" w:hAnsi="黑体" w:cs="宋体" w:hint="eastAsia"/>
          <w:sz w:val="28"/>
          <w:szCs w:val="28"/>
        </w:rPr>
        <w:t>239</w:t>
      </w:r>
      <w:r w:rsidRPr="00F05764">
        <w:rPr>
          <w:rFonts w:ascii="黑体" w:eastAsia="黑体" w:hAnsi="黑体" w:cs="宋体" w:hint="eastAsia"/>
          <w:sz w:val="28"/>
          <w:szCs w:val="28"/>
        </w:rPr>
        <w:t>-20</w:t>
      </w:r>
      <w:r w:rsidR="00F05764" w:rsidRPr="00F05764">
        <w:rPr>
          <w:rFonts w:ascii="黑体" w:eastAsia="黑体" w:hAnsi="黑体" w:cs="宋体" w:hint="eastAsia"/>
          <w:sz w:val="28"/>
          <w:szCs w:val="28"/>
        </w:rPr>
        <w:t>22</w:t>
      </w:r>
    </w:p>
    <w:p w:rsidR="004435CA" w:rsidRDefault="00C63579" w:rsidP="00DB1762">
      <w:pPr>
        <w:spacing w:beforeLines="50" w:before="156" w:afterLines="50" w:after="156" w:line="400" w:lineRule="atLeast"/>
        <w:ind w:left="357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439532" wp14:editId="08BF5F75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0" t="0" r="0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12.6pt;margin-top:6pt;height:0pt;width:407.4pt;z-index:251660288;mso-width-relative:page;mso-height-relative:page;" filled="f" stroked="t" coordsize="21600,21600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4a30DUAAAACAEAAA8AAAAAAAAAAQAgAAAAIgAAAGRycy9kb3du&#10;cmV2LnhtbFBLAQIUABQAAAAIAIdO4kDfNg11AwIAAPoDAAAOAAAAAAAAAAEAIAAAACM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Default="00C63579" w:rsidP="00DB1762">
      <w:pPr>
        <w:spacing w:beforeLines="50" w:before="156" w:afterLines="50" w:after="156" w:line="360" w:lineRule="auto"/>
        <w:ind w:left="357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西南地区</w:t>
      </w:r>
    </w:p>
    <w:p w:rsidR="004435CA" w:rsidRDefault="004435CA" w:rsidP="00DB1762">
      <w:pPr>
        <w:spacing w:beforeLines="50" w:before="156" w:afterLines="50" w:after="156" w:line="360" w:lineRule="auto"/>
        <w:ind w:left="357"/>
        <w:contextualSpacing/>
        <w:jc w:val="center"/>
        <w:rPr>
          <w:rFonts w:ascii="黑体" w:eastAsia="黑体" w:hAnsi="黑体" w:cs="宋体"/>
          <w:sz w:val="18"/>
          <w:szCs w:val="18"/>
        </w:rPr>
      </w:pPr>
    </w:p>
    <w:p w:rsidR="004435CA" w:rsidRDefault="00C63579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Times New Roman" w:hint="eastAsia"/>
          <w:sz w:val="48"/>
          <w:szCs w:val="48"/>
        </w:rPr>
        <w:t>绿色食品刺梨生产操作规程</w:t>
      </w: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Pr="00F05764" w:rsidRDefault="00C63579" w:rsidP="00DB1762">
      <w:pPr>
        <w:spacing w:beforeLines="50" w:before="156" w:afterLines="50" w:after="156" w:line="400" w:lineRule="atLeast"/>
        <w:ind w:left="357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F05764">
        <w:rPr>
          <w:rFonts w:ascii="黑体" w:eastAsia="黑体" w:hAnsi="黑体" w:cs="宋体" w:hint="eastAsia"/>
          <w:sz w:val="28"/>
          <w:szCs w:val="28"/>
        </w:rPr>
        <w:t>20</w:t>
      </w:r>
      <w:r w:rsidR="00F85CC0">
        <w:rPr>
          <w:rFonts w:ascii="黑体" w:eastAsia="黑体" w:hAnsi="黑体" w:cs="宋体" w:hint="eastAsia"/>
          <w:sz w:val="28"/>
          <w:szCs w:val="28"/>
        </w:rPr>
        <w:t>22</w:t>
      </w:r>
      <w:r w:rsidRPr="00F05764">
        <w:rPr>
          <w:rFonts w:ascii="黑体" w:eastAsia="黑体" w:hAnsi="黑体" w:cs="宋体" w:hint="eastAsia"/>
          <w:sz w:val="28"/>
          <w:szCs w:val="28"/>
        </w:rPr>
        <w:t>-</w:t>
      </w:r>
      <w:r w:rsidR="00F85CC0">
        <w:rPr>
          <w:rFonts w:ascii="黑体" w:eastAsia="黑体" w:hAnsi="黑体" w:cs="宋体" w:hint="eastAsia"/>
          <w:sz w:val="28"/>
          <w:szCs w:val="28"/>
        </w:rPr>
        <w:t>04</w:t>
      </w:r>
      <w:r w:rsidRPr="00F05764">
        <w:rPr>
          <w:rFonts w:ascii="黑体" w:eastAsia="黑体" w:hAnsi="黑体" w:cs="宋体" w:hint="eastAsia"/>
          <w:sz w:val="28"/>
          <w:szCs w:val="28"/>
        </w:rPr>
        <w:t>-</w:t>
      </w:r>
      <w:r w:rsidR="00F85CC0">
        <w:rPr>
          <w:rFonts w:ascii="黑体" w:eastAsia="黑体" w:hAnsi="黑体" w:cs="宋体" w:hint="eastAsia"/>
          <w:sz w:val="28"/>
          <w:szCs w:val="28"/>
        </w:rPr>
        <w:t>11</w:t>
      </w:r>
      <w:r w:rsidRPr="00F05764">
        <w:rPr>
          <w:rFonts w:ascii="黑体" w:eastAsia="黑体" w:hAnsi="黑体" w:cs="宋体" w:hint="eastAsia"/>
          <w:sz w:val="28"/>
          <w:szCs w:val="28"/>
        </w:rPr>
        <w:t xml:space="preserve">发布          </w:t>
      </w:r>
      <w:r w:rsidR="00F85CC0">
        <w:rPr>
          <w:rFonts w:ascii="黑体" w:eastAsia="黑体" w:hAnsi="黑体" w:cs="宋体" w:hint="eastAsia"/>
          <w:sz w:val="28"/>
          <w:szCs w:val="28"/>
        </w:rPr>
        <w:t xml:space="preserve">           </w:t>
      </w:r>
      <w:bookmarkStart w:id="0" w:name="_GoBack"/>
      <w:bookmarkEnd w:id="0"/>
      <w:r w:rsidRPr="00F05764">
        <w:rPr>
          <w:rFonts w:ascii="黑体" w:eastAsia="黑体" w:hAnsi="黑体" w:cs="宋体" w:hint="eastAsia"/>
          <w:sz w:val="28"/>
          <w:szCs w:val="28"/>
        </w:rPr>
        <w:t xml:space="preserve">    20</w:t>
      </w:r>
      <w:r w:rsidR="00F85CC0">
        <w:rPr>
          <w:rFonts w:ascii="黑体" w:eastAsia="黑体" w:hAnsi="黑体" w:cs="宋体" w:hint="eastAsia"/>
          <w:sz w:val="28"/>
          <w:szCs w:val="28"/>
        </w:rPr>
        <w:t>22</w:t>
      </w:r>
      <w:r w:rsidRPr="00F05764">
        <w:rPr>
          <w:rFonts w:ascii="黑体" w:eastAsia="黑体" w:hAnsi="黑体" w:cs="宋体" w:hint="eastAsia"/>
          <w:sz w:val="28"/>
          <w:szCs w:val="28"/>
        </w:rPr>
        <w:t>-</w:t>
      </w:r>
      <w:r w:rsidR="00F85CC0">
        <w:rPr>
          <w:rFonts w:ascii="黑体" w:eastAsia="黑体" w:hAnsi="黑体" w:cs="宋体" w:hint="eastAsia"/>
          <w:sz w:val="28"/>
          <w:szCs w:val="28"/>
        </w:rPr>
        <w:t>04</w:t>
      </w:r>
      <w:r w:rsidRPr="00F05764">
        <w:rPr>
          <w:rFonts w:ascii="黑体" w:eastAsia="黑体" w:hAnsi="黑体" w:cs="宋体" w:hint="eastAsia"/>
          <w:sz w:val="28"/>
          <w:szCs w:val="28"/>
        </w:rPr>
        <w:t>-</w:t>
      </w:r>
      <w:r w:rsidR="00F85CC0">
        <w:rPr>
          <w:rFonts w:ascii="黑体" w:eastAsia="黑体" w:hAnsi="黑体" w:cs="宋体" w:hint="eastAsia"/>
          <w:sz w:val="28"/>
          <w:szCs w:val="28"/>
        </w:rPr>
        <w:t>15</w:t>
      </w:r>
      <w:r w:rsidRPr="00F05764">
        <w:rPr>
          <w:rFonts w:ascii="黑体" w:eastAsia="黑体" w:hAnsi="黑体" w:cs="宋体" w:hint="eastAsia"/>
          <w:sz w:val="28"/>
          <w:szCs w:val="28"/>
        </w:rPr>
        <w:t>实施</w:t>
      </w:r>
    </w:p>
    <w:p w:rsidR="004435CA" w:rsidRPr="00F05764" w:rsidRDefault="00C63579" w:rsidP="00DB1762">
      <w:pPr>
        <w:spacing w:beforeLines="50" w:before="156" w:afterLines="50" w:after="156" w:line="400" w:lineRule="atLeast"/>
        <w:ind w:left="357"/>
        <w:contextualSpacing/>
        <w:jc w:val="left"/>
        <w:rPr>
          <w:rFonts w:ascii="黑体" w:eastAsia="黑体" w:hAnsi="黑体" w:cs="宋体"/>
          <w:sz w:val="24"/>
          <w:szCs w:val="24"/>
        </w:rPr>
      </w:pPr>
      <w:r w:rsidRPr="00F05764">
        <w:rPr>
          <w:rFonts w:ascii="黑体" w:eastAsia="黑体" w:hAnsi="黑体" w:cs="宋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43BCA8" wp14:editId="6EA93CFD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0" t="4445" r="3810" b="8890"/>
                <wp:wrapNone/>
                <wp:docPr id="3" name="直接箭头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32" type="#_x0000_t32" style="position:absolute;left:0pt;margin-left:16.2pt;margin-top:9pt;height:1.2pt;width:382.2pt;z-index:251659264;mso-width-relative:page;mso-height-relative:page;" filled="f" stroked="t" coordsize="21600,2160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Eai2kdcAAAAIAQAADwAAAAAAAAABACAAAAAiAAAAZHJz&#10;L2Rvd25yZXYueG1sUEsBAhQAFAAAAAgAh07iQORI4XsFAgAA/gMAAA4AAAAAAAAAAQAgAAAAJgEA&#10;AGRycy9lMm9Eb2MueG1sUEsFBgAAAAAGAAYAWQEAAJ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:rsidR="004435CA" w:rsidRDefault="00C63579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F05764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131402220"/>
        </w:rPr>
        <w:t>中国绿色食品发展中</w:t>
      </w:r>
      <w:r w:rsidRPr="00F05764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131402220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4435CA" w:rsidRDefault="004435CA" w:rsidP="00DB1762">
      <w:pPr>
        <w:spacing w:beforeLines="50" w:before="156" w:afterLines="50" w:after="156" w:line="400" w:lineRule="atLeast"/>
        <w:contextualSpacing/>
        <w:rPr>
          <w:rFonts w:ascii="宋体" w:eastAsia="宋体" w:hAnsi="宋体" w:cs="宋体"/>
          <w:sz w:val="28"/>
          <w:szCs w:val="28"/>
        </w:rPr>
      </w:pPr>
    </w:p>
    <w:p w:rsidR="004435CA" w:rsidRDefault="004435CA" w:rsidP="00DB1762">
      <w:pPr>
        <w:spacing w:beforeLines="50" w:before="156" w:afterLines="50" w:after="156" w:line="400" w:lineRule="atLeast"/>
        <w:contextualSpacing/>
        <w:rPr>
          <w:rFonts w:ascii="宋体" w:eastAsia="宋体" w:hAnsi="宋体" w:cs="宋体"/>
          <w:sz w:val="28"/>
          <w:szCs w:val="28"/>
        </w:rPr>
      </w:pP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Default="00C63579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Default="004435CA" w:rsidP="00DB1762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本规程由中国绿色食品发展中心提出并归口。</w:t>
      </w:r>
    </w:p>
    <w:p w:rsidR="00DB1762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本规程起草单位：贵州省绿色食品发展中心、中国绿色食品发展中心、安顺市农业农村局、遵义市农业农村局、六盘水市农业农村局、贵州省地理标志研究会、云南省绿色食品发展中心、四川省绿色食品发展中心、重庆市农产品质</w:t>
      </w:r>
      <w:proofErr w:type="gramStart"/>
      <w:r>
        <w:rPr>
          <w:rFonts w:ascii="宋体" w:eastAsia="宋体" w:hAnsi="宋体" w:cs="宋体" w:hint="eastAsia"/>
          <w:szCs w:val="21"/>
        </w:rPr>
        <w:t>量安全</w:t>
      </w:r>
      <w:proofErr w:type="gramEnd"/>
      <w:r>
        <w:rPr>
          <w:rFonts w:ascii="宋体" w:eastAsia="宋体" w:hAnsi="宋体" w:cs="宋体" w:hint="eastAsia"/>
          <w:szCs w:val="21"/>
        </w:rPr>
        <w:t>中心。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本规程主要起草人： </w:t>
      </w:r>
      <w:proofErr w:type="gramStart"/>
      <w:r>
        <w:rPr>
          <w:rFonts w:ascii="宋体" w:eastAsia="宋体" w:hAnsi="宋体" w:cs="宋体" w:hint="eastAsia"/>
          <w:szCs w:val="21"/>
        </w:rPr>
        <w:t>代振江</w:t>
      </w:r>
      <w:proofErr w:type="gramEnd"/>
      <w:r>
        <w:rPr>
          <w:rFonts w:ascii="宋体" w:eastAsia="宋体" w:hAnsi="宋体" w:cs="宋体" w:hint="eastAsia"/>
          <w:szCs w:val="21"/>
        </w:rPr>
        <w:t>、陈量、李达</w:t>
      </w:r>
      <w:r w:rsidR="00E4745F">
        <w:rPr>
          <w:rFonts w:ascii="宋体" w:eastAsia="宋体" w:hAnsi="宋体" w:cs="宋体" w:hint="eastAsia"/>
          <w:szCs w:val="21"/>
        </w:rPr>
        <w:t>、张宪、</w:t>
      </w:r>
      <w:r>
        <w:rPr>
          <w:rFonts w:ascii="宋体" w:eastAsia="宋体" w:hAnsi="宋体" w:cs="宋体" w:hint="eastAsia"/>
          <w:szCs w:val="21"/>
        </w:rPr>
        <w:t>任晓慧、张瑞、梁潇、张明露、张剑勇、熊小龙、陈海燕、黎述政、王维、李万贵、祖达、李发耀、彭渊迪、涂娟知、陶玉鑫、刘清庭、姚鹏、钱琳刚、王艳蓉、张海彬</w:t>
      </w:r>
      <w:r w:rsidR="00F05764">
        <w:rPr>
          <w:rFonts w:ascii="宋体" w:eastAsia="宋体" w:hAnsi="宋体" w:cs="宋体" w:hint="eastAsia"/>
          <w:szCs w:val="21"/>
        </w:rPr>
        <w:t>。</w:t>
      </w: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left="357"/>
        <w:contextualSpacing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ind w:firstLineChars="200" w:firstLine="560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4435CA">
      <w:pPr>
        <w:spacing w:beforeLines="50" w:before="156" w:afterLines="50" w:after="156" w:line="400" w:lineRule="atLeast"/>
        <w:contextualSpacing/>
        <w:jc w:val="left"/>
        <w:rPr>
          <w:rFonts w:ascii="宋体" w:eastAsia="宋体" w:hAnsi="宋体" w:cs="宋体"/>
          <w:sz w:val="28"/>
          <w:szCs w:val="28"/>
        </w:rPr>
      </w:pPr>
    </w:p>
    <w:p w:rsidR="004435CA" w:rsidRDefault="00C63579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西南地区</w:t>
      </w:r>
    </w:p>
    <w:p w:rsidR="004435CA" w:rsidRDefault="00C63579">
      <w:pPr>
        <w:spacing w:beforeLines="50" w:before="156" w:afterLines="50" w:after="156" w:line="400" w:lineRule="atLeast"/>
        <w:ind w:left="357"/>
        <w:contextualSpacing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绿色食品刺梨生产操作规程</w:t>
      </w:r>
    </w:p>
    <w:p w:rsidR="004435CA" w:rsidRDefault="004435CA">
      <w:pPr>
        <w:spacing w:beforeLines="50" w:before="156" w:afterLines="50" w:after="156" w:line="400" w:lineRule="atLeast"/>
        <w:ind w:left="357"/>
        <w:contextualSpacing/>
        <w:jc w:val="center"/>
        <w:rPr>
          <w:rFonts w:ascii="宋体" w:eastAsia="宋体" w:hAnsi="宋体" w:cs="宋体"/>
          <w:sz w:val="28"/>
          <w:szCs w:val="28"/>
        </w:rPr>
      </w:pP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 范围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本规程规定了西南地区绿色食品刺梨的产地环境、品种选择、播种、育苗、定植、田间管理、采收、运输储藏、生产废弃物的处理及生产档案管理。</w:t>
      </w:r>
    </w:p>
    <w:p w:rsidR="004435CA" w:rsidRPr="00F05764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Times New Roman" w:cs="Times New Roman"/>
          <w:b/>
          <w:szCs w:val="21"/>
        </w:rPr>
      </w:pPr>
      <w:r>
        <w:rPr>
          <w:rFonts w:ascii="宋体" w:eastAsia="宋体" w:hAnsi="宋体" w:cs="宋体" w:hint="eastAsia"/>
          <w:szCs w:val="21"/>
        </w:rPr>
        <w:t>本规程适用</w:t>
      </w:r>
      <w:r w:rsidRPr="00570D0C">
        <w:rPr>
          <w:rFonts w:ascii="宋体" w:eastAsia="宋体" w:hAnsi="宋体" w:cs="宋体" w:hint="eastAsia"/>
          <w:szCs w:val="21"/>
        </w:rPr>
        <w:t>于</w:t>
      </w:r>
      <w:r w:rsidRPr="00F05764">
        <w:rPr>
          <w:rFonts w:ascii="宋体" w:eastAsia="宋体" w:hAnsi="宋体" w:cs="宋体" w:hint="eastAsia"/>
          <w:szCs w:val="21"/>
        </w:rPr>
        <w:t>四川、重庆、贵州和云南省</w:t>
      </w:r>
      <w:r w:rsidRPr="00570D0C">
        <w:rPr>
          <w:rFonts w:ascii="宋体" w:eastAsia="宋体" w:hAnsi="宋体" w:cs="宋体" w:hint="eastAsia"/>
          <w:szCs w:val="21"/>
        </w:rPr>
        <w:t>的绿色食品刺梨生产。</w:t>
      </w:r>
    </w:p>
    <w:p w:rsidR="004435CA" w:rsidRPr="00570D0C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 w:rsidRPr="00570D0C">
        <w:rPr>
          <w:rFonts w:ascii="黑体" w:eastAsia="黑体" w:hAnsi="黑体" w:cs="黑体" w:hint="eastAsia"/>
          <w:szCs w:val="21"/>
        </w:rPr>
        <w:t>2 规范性引用文件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下列文件对于本文件的应用是必不可少的。未注日期的引用文件，其最新版本（包括所有的修改单）适用于本文件。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NY/T 391  绿色食品 产地环境质量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NY/T 393  绿色食品 农药使用准则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color w:val="000000" w:themeColor="text1"/>
          <w:szCs w:val="21"/>
        </w:rPr>
      </w:pPr>
      <w:r>
        <w:rPr>
          <w:rFonts w:ascii="宋体" w:eastAsia="宋体" w:hAnsi="宋体" w:cs="宋体" w:hint="eastAsia"/>
          <w:color w:val="000000" w:themeColor="text1"/>
          <w:szCs w:val="21"/>
        </w:rPr>
        <w:t>NY/T 394  绿色食品 肥料使用准则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NY/T 658  绿色食品 包装通用准则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NY/T 1056 绿色食品 储藏运输准则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 产地环境</w:t>
      </w:r>
    </w:p>
    <w:p w:rsidR="004435CA" w:rsidRDefault="00C6357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3.1基地选址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基地选址应远离城区、工矿区、交通主干线、工业污染源、生活垃圾场等，应具有较强的可持续生产能力，产地环境条件应符合NY/T 391的规定。</w:t>
      </w:r>
    </w:p>
    <w:p w:rsidR="004435CA" w:rsidRDefault="00C6357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3.2地形地势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坡度≤25°，10°～25°区建园时宜修筑水平梯带，梯带带面宽度≥2.5m，坡向为南坡或东南坡。</w:t>
      </w:r>
    </w:p>
    <w:p w:rsidR="004435CA" w:rsidRDefault="00C6357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3.3土壤条件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土壤有机质含量≥2.0%，土壤pH 5.5～7.0，土层厚度≥50cm，质地良好，疏松肥沃。</w:t>
      </w:r>
    </w:p>
    <w:p w:rsidR="004435CA" w:rsidRDefault="00C6357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3.4气候条件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年平均气温13℃～17℃，≥10℃的年积温3900℃～5000℃，年降雨量1100mm～1600mm，年日照时数＞1000h。</w:t>
      </w:r>
    </w:p>
    <w:p w:rsidR="004435CA" w:rsidRDefault="00C63579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3.5缓冲带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种植基地和其他农业生产区域之间应设置缓冲</w:t>
      </w:r>
      <w:proofErr w:type="gramStart"/>
      <w:r>
        <w:rPr>
          <w:rFonts w:ascii="宋体" w:eastAsia="宋体" w:hAnsi="宋体" w:cs="宋体" w:hint="eastAsia"/>
          <w:szCs w:val="21"/>
        </w:rPr>
        <w:t>带保证</w:t>
      </w:r>
      <w:proofErr w:type="gramEnd"/>
      <w:r>
        <w:rPr>
          <w:rFonts w:ascii="宋体" w:eastAsia="宋体" w:hAnsi="宋体" w:cs="宋体" w:hint="eastAsia"/>
          <w:szCs w:val="21"/>
        </w:rPr>
        <w:t>种植基地不受污染，起到有效隔离</w:t>
      </w:r>
      <w:r>
        <w:rPr>
          <w:rFonts w:ascii="宋体" w:eastAsia="宋体" w:hAnsi="宋体" w:cs="宋体" w:hint="eastAsia"/>
          <w:szCs w:val="21"/>
        </w:rPr>
        <w:lastRenderedPageBreak/>
        <w:t>的作用，以防止临近其他农业生产地块的禁用物质的漂移。缓冲</w:t>
      </w:r>
      <w:proofErr w:type="gramStart"/>
      <w:r>
        <w:rPr>
          <w:rFonts w:ascii="宋体" w:eastAsia="宋体" w:hAnsi="宋体" w:cs="宋体" w:hint="eastAsia"/>
          <w:szCs w:val="21"/>
        </w:rPr>
        <w:t>带设置</w:t>
      </w:r>
      <w:proofErr w:type="gramEnd"/>
      <w:r>
        <w:rPr>
          <w:rFonts w:ascii="宋体" w:eastAsia="宋体" w:hAnsi="宋体" w:cs="宋体" w:hint="eastAsia"/>
          <w:szCs w:val="21"/>
        </w:rPr>
        <w:t>根据污染源的强弱、远近、风向等因素而定。缓冲带以自然山地、丛林、荒地或草地等天然屏障为宜，也可以人工营造树林和种植作物设置缓冲带，</w:t>
      </w:r>
      <w:r w:rsidRPr="00F05764">
        <w:rPr>
          <w:rFonts w:ascii="宋体" w:eastAsia="宋体" w:hAnsi="宋体" w:cs="宋体" w:hint="eastAsia"/>
          <w:szCs w:val="21"/>
        </w:rPr>
        <w:t>可在绿色食品种植区边缘</w:t>
      </w:r>
      <w:r w:rsidRPr="00F05764">
        <w:rPr>
          <w:rFonts w:ascii="宋体" w:eastAsia="宋体" w:hAnsi="宋体" w:cs="宋体"/>
          <w:szCs w:val="21"/>
        </w:rPr>
        <w:t>5m～10m处种植树木作为双重篱墙，隔离带宽度8m左右，隔离带种植缓冲作物。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 品种选择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根据各地市场需求，结合气候特点、土壤特征和品种特性，选择适宜当地种植的优质、高产、抗病、抗逆性强、商品性好的品种。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 播种、育苗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5.1播种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5.1</w:t>
      </w:r>
      <w:r>
        <w:rPr>
          <w:rFonts w:ascii="黑体" w:eastAsia="黑体" w:hAnsi="黑体" w:cs="黑体"/>
          <w:szCs w:val="21"/>
        </w:rPr>
        <w:t>.</w:t>
      </w:r>
      <w:r>
        <w:rPr>
          <w:rFonts w:ascii="黑体" w:eastAsia="黑体" w:hAnsi="黑体" w:cs="黑体" w:hint="eastAsia"/>
          <w:szCs w:val="21"/>
        </w:rPr>
        <w:t>1</w:t>
      </w:r>
      <w:r>
        <w:rPr>
          <w:rFonts w:ascii="黑体" w:eastAsia="黑体" w:hAnsi="黑体" w:cs="黑体"/>
          <w:szCs w:val="21"/>
        </w:rPr>
        <w:t xml:space="preserve">种子处理   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播种前，用50～60℃的温水浸泡种子1d，取出后洗净，然后进行播种。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5.1.2播种时间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随采随播或春播，春播在2月下旬至3月上旬播种，4月上旬出苗，5月下旬至6月上旬移栽苗圃。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5.1.3播种量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播种量3.5～4.5g/m</w:t>
      </w:r>
      <w:r>
        <w:rPr>
          <w:rFonts w:ascii="宋体" w:eastAsia="宋体" w:hAnsi="宋体" w:cs="宋体" w:hint="eastAsia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Cs w:val="21"/>
        </w:rPr>
        <w:t>,均匀撒播，覆盖细土0.5～1cm，再覆草1～2cm。幼苗长到4～5片叶时，开始间苗1～2次，</w:t>
      </w:r>
      <w:proofErr w:type="gramStart"/>
      <w:r>
        <w:rPr>
          <w:rFonts w:ascii="宋体" w:eastAsia="宋体" w:hAnsi="宋体" w:cs="宋体" w:hint="eastAsia"/>
          <w:szCs w:val="21"/>
        </w:rPr>
        <w:t>间补结合</w:t>
      </w:r>
      <w:proofErr w:type="gramEnd"/>
      <w:r>
        <w:rPr>
          <w:rFonts w:ascii="宋体" w:eastAsia="宋体" w:hAnsi="宋体" w:cs="宋体" w:hint="eastAsia"/>
          <w:szCs w:val="21"/>
        </w:rPr>
        <w:t>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5.1.4播种密度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株行距2m×3m或2m×2m，每667m</w:t>
      </w:r>
      <w:r>
        <w:rPr>
          <w:rFonts w:ascii="宋体" w:eastAsia="宋体" w:hAnsi="宋体" w:cs="宋体" w:hint="eastAsia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szCs w:val="21"/>
        </w:rPr>
        <w:t>种植111～167株。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5.2育苗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5.2.1苗圃地管理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选择土壤无板结现象、土质肥沃、排灌方便、未作过刺梨苗圃的地方作为苗圃地，扦插前将苗圃地土壤深挖，施发酵腐熟的农家肥料或有机肥，整平耙细后作宽1m的厢，然后浇透水，用</w:t>
      </w:r>
      <w:proofErr w:type="gramStart"/>
      <w:r>
        <w:rPr>
          <w:rFonts w:ascii="宋体" w:eastAsia="宋体" w:hAnsi="宋体" w:cs="宋体" w:hint="eastAsia"/>
          <w:szCs w:val="21"/>
        </w:rPr>
        <w:t>地膜覆盖厢面再</w:t>
      </w:r>
      <w:proofErr w:type="gramEnd"/>
      <w:r>
        <w:rPr>
          <w:rFonts w:ascii="宋体" w:eastAsia="宋体" w:hAnsi="宋体" w:cs="宋体" w:hint="eastAsia"/>
          <w:szCs w:val="21"/>
        </w:rPr>
        <w:t>扦插。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5.2.2绿枝扦插</w:t>
      </w:r>
    </w:p>
    <w:p w:rsidR="004435CA" w:rsidRPr="00570D0C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8月～9月上旬，选生长健壮、保留2～3个芽、直径≥0.6cm的当年生新梢，剪成10cm～13cm的插条进行扦插，插条切口平滑，无机械伤、劈裂。插前用50mg/</w:t>
      </w:r>
      <w:r w:rsidRPr="00570D0C">
        <w:rPr>
          <w:rFonts w:ascii="宋体" w:eastAsia="宋体" w:hAnsi="宋体" w:cs="宋体" w:hint="eastAsia"/>
          <w:szCs w:val="21"/>
        </w:rPr>
        <w:t>L吲哚乙酸（</w:t>
      </w:r>
      <w:r w:rsidRPr="00570D0C">
        <w:rPr>
          <w:rFonts w:ascii="宋体" w:eastAsia="宋体" w:hAnsi="宋体" w:cs="宋体"/>
          <w:szCs w:val="21"/>
        </w:rPr>
        <w:t>IAA</w:t>
      </w:r>
      <w:r w:rsidRPr="00570D0C">
        <w:rPr>
          <w:rFonts w:ascii="宋体" w:eastAsia="宋体" w:hAnsi="宋体" w:cs="宋体" w:hint="eastAsia"/>
          <w:szCs w:val="21"/>
        </w:rPr>
        <w:t>）溶液浸泡扦插端基部30min。</w:t>
      </w:r>
    </w:p>
    <w:p w:rsidR="004435CA" w:rsidRPr="00570D0C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 w:rsidRPr="00570D0C">
        <w:rPr>
          <w:rFonts w:ascii="黑体" w:eastAsia="黑体" w:hAnsi="黑体" w:cs="黑体"/>
          <w:szCs w:val="21"/>
        </w:rPr>
        <w:t>5.2.3硬枝或踵状枝扦插</w:t>
      </w:r>
    </w:p>
    <w:p w:rsidR="004435CA" w:rsidRPr="00570D0C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 w:rsidRPr="00570D0C">
        <w:rPr>
          <w:rFonts w:ascii="宋体" w:eastAsia="宋体" w:hAnsi="宋体" w:cs="宋体"/>
          <w:szCs w:val="21"/>
        </w:rPr>
        <w:t>10月下旬，选生长健壮、保留2～3个芽、直径≥0.8cm的1年～2年生枝，剪成10cm～13cm的插条进行扦插，插条切口平滑，无机械伤、劈裂。插前用50mg/L</w:t>
      </w:r>
      <w:r w:rsidRPr="00570D0C">
        <w:rPr>
          <w:rFonts w:ascii="宋体" w:eastAsia="宋体" w:hAnsi="宋体" w:cs="宋体" w:hint="eastAsia"/>
          <w:szCs w:val="21"/>
        </w:rPr>
        <w:t>吲哚乙酸（</w:t>
      </w:r>
      <w:r w:rsidRPr="00570D0C">
        <w:rPr>
          <w:rFonts w:ascii="宋体" w:eastAsia="宋体" w:hAnsi="宋体" w:cs="宋体"/>
          <w:szCs w:val="21"/>
        </w:rPr>
        <w:t>IAA</w:t>
      </w:r>
      <w:r w:rsidRPr="00570D0C">
        <w:rPr>
          <w:rFonts w:ascii="宋体" w:eastAsia="宋体" w:hAnsi="宋体" w:cs="宋体" w:hint="eastAsia"/>
          <w:szCs w:val="21"/>
        </w:rPr>
        <w:t>）溶液浸泡扦插端基部30min。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5.2.4苗木质量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苗木地径≥0.6cm，苗高35cm～45cm较为适宜，分枝数＞3：根系有2个以上一级侧根</w:t>
      </w:r>
      <w:r>
        <w:rPr>
          <w:rFonts w:ascii="宋体" w:eastAsia="宋体" w:hAnsi="宋体" w:cs="宋体" w:hint="eastAsia"/>
          <w:szCs w:val="21"/>
        </w:rPr>
        <w:lastRenderedPageBreak/>
        <w:t>和5条以上二级侧根。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 定植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6.1整地要求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定植前60d～90d挖定制穴，整地规格为80cm×80cm×60cm。挖穴时，捡出有碍刺梨生长的坑内树根、杂草及石块，将表土与心土分别堆放，回填时用表土填下。施有机底肥＞3000kg/亩，有机底肥与表土拌匀回填踩实。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6.2定植时间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落叶以后，以12月为宜。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6.3定植技术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将苗木的根系和枝叶适度修剪后放入穴中央，舒展根系，</w:t>
      </w:r>
      <w:r>
        <w:rPr>
          <w:rFonts w:ascii="宋体" w:eastAsia="宋体" w:hAnsi="宋体" w:cs="宋体" w:hint="eastAsia"/>
          <w:szCs w:val="21"/>
        </w:rPr>
        <w:t>先填表土</w:t>
      </w:r>
      <w:r>
        <w:rPr>
          <w:rFonts w:ascii="宋体" w:eastAsia="宋体" w:hAnsi="宋体" w:cs="宋体"/>
          <w:szCs w:val="21"/>
        </w:rPr>
        <w:t>，轻轻向上提苗，扶正，踏实，</w:t>
      </w:r>
      <w:r>
        <w:rPr>
          <w:rFonts w:ascii="宋体" w:eastAsia="宋体" w:hAnsi="宋体" w:cs="宋体" w:hint="eastAsia"/>
          <w:szCs w:val="21"/>
        </w:rPr>
        <w:t>再填心土，</w:t>
      </w:r>
      <w:proofErr w:type="gramStart"/>
      <w:r>
        <w:rPr>
          <w:rFonts w:ascii="宋体" w:eastAsia="宋体" w:hAnsi="宋体" w:cs="宋体"/>
          <w:szCs w:val="21"/>
        </w:rPr>
        <w:t>浇足定根</w:t>
      </w:r>
      <w:proofErr w:type="gramEnd"/>
      <w:r>
        <w:rPr>
          <w:rFonts w:ascii="宋体" w:eastAsia="宋体" w:hAnsi="宋体" w:cs="宋体"/>
          <w:szCs w:val="21"/>
        </w:rPr>
        <w:t>水，栽植深度以假根颈露出地面为宜。</w:t>
      </w:r>
      <w:r>
        <w:rPr>
          <w:rFonts w:ascii="宋体" w:eastAsia="宋体" w:hAnsi="宋体" w:cs="宋体" w:hint="eastAsia"/>
          <w:szCs w:val="21"/>
        </w:rPr>
        <w:t>最后</w:t>
      </w:r>
      <w:r>
        <w:rPr>
          <w:rFonts w:ascii="宋体" w:eastAsia="宋体" w:hAnsi="宋体" w:cs="宋体"/>
          <w:szCs w:val="21"/>
        </w:rPr>
        <w:t>在定植穴</w:t>
      </w:r>
      <w:proofErr w:type="gramStart"/>
      <w:r>
        <w:rPr>
          <w:rFonts w:ascii="宋体" w:eastAsia="宋体" w:hAnsi="宋体" w:cs="宋体"/>
          <w:szCs w:val="21"/>
        </w:rPr>
        <w:t>穴</w:t>
      </w:r>
      <w:proofErr w:type="gramEnd"/>
      <w:r>
        <w:rPr>
          <w:rFonts w:ascii="宋体" w:eastAsia="宋体" w:hAnsi="宋体" w:cs="宋体"/>
          <w:szCs w:val="21"/>
        </w:rPr>
        <w:t>面上筑25cm高的树盘。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 田间管理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7.1灌溉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7.1.1灌溉时间与方式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在刺梨的春梢萌动及开花期和幼果发育期（3月～5月）、果实膨大期（7月），若发生干旱（田间相对含水量在60%以下时）应及时灌溉。采前2天～3天停止灌水。提倡节水灌溉，可采用喷灌。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7.1.2灌溉水质量</w:t>
      </w:r>
    </w:p>
    <w:p w:rsidR="004435CA" w:rsidRDefault="00C63579" w:rsidP="00F05764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 w:rsidRPr="00F05764">
        <w:rPr>
          <w:rFonts w:ascii="宋体" w:eastAsia="宋体" w:hAnsi="宋体" w:cs="宋体" w:hint="eastAsia"/>
          <w:szCs w:val="21"/>
        </w:rPr>
        <w:t>灌溉水源应是深井水或水库等清洁水源，不应使用污水或塘水等被污染的地表水，灌溉</w:t>
      </w:r>
      <w:proofErr w:type="gramStart"/>
      <w:r w:rsidRPr="00F05764">
        <w:rPr>
          <w:rFonts w:ascii="宋体" w:eastAsia="宋体" w:hAnsi="宋体" w:cs="宋体" w:hint="eastAsia"/>
          <w:szCs w:val="21"/>
        </w:rPr>
        <w:t>水各项</w:t>
      </w:r>
      <w:proofErr w:type="gramEnd"/>
      <w:r w:rsidRPr="00F05764">
        <w:rPr>
          <w:rFonts w:ascii="宋体" w:eastAsia="宋体" w:hAnsi="宋体" w:cs="宋体" w:hint="eastAsia"/>
          <w:szCs w:val="21"/>
        </w:rPr>
        <w:t>监测指标应符合</w:t>
      </w:r>
      <w:r w:rsidRPr="00F05764">
        <w:rPr>
          <w:rFonts w:ascii="宋体" w:eastAsia="宋体" w:hAnsi="宋体" w:cs="宋体"/>
          <w:szCs w:val="21"/>
        </w:rPr>
        <w:t>NY/T 391的要求</w:t>
      </w:r>
      <w:r>
        <w:rPr>
          <w:rFonts w:ascii="宋体" w:eastAsia="宋体" w:hAnsi="宋体" w:cs="宋体"/>
          <w:szCs w:val="21"/>
        </w:rPr>
        <w:t>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7.1.3排水</w:t>
      </w:r>
    </w:p>
    <w:p w:rsidR="004435CA" w:rsidRDefault="00C63579" w:rsidP="00DB1762">
      <w:pPr>
        <w:spacing w:beforeLines="50" w:before="156" w:afterLines="50" w:after="156" w:line="400" w:lineRule="atLeast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 </w:t>
      </w:r>
      <w:r w:rsidR="00570D0C">
        <w:rPr>
          <w:rFonts w:ascii="宋体" w:eastAsia="宋体" w:hAnsi="宋体" w:cs="宋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>多雨季节或果园积水时应及时排水。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7.2施肥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7.2.1施肥原则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肥料使用应符合NY/T 394的规定。所施用的</w:t>
      </w:r>
      <w:r>
        <w:rPr>
          <w:rFonts w:ascii="宋体" w:eastAsia="宋体" w:hAnsi="宋体" w:cs="宋体" w:hint="eastAsia"/>
          <w:szCs w:val="21"/>
        </w:rPr>
        <w:t>商品</w:t>
      </w:r>
      <w:r>
        <w:rPr>
          <w:rFonts w:ascii="宋体" w:eastAsia="宋体" w:hAnsi="宋体" w:cs="宋体"/>
          <w:szCs w:val="21"/>
        </w:rPr>
        <w:t>肥料为已登记的肥料或免于登记的肥料。以农家肥料、有机肥料、微生物肥料为主，化肥为辅，在保障</w:t>
      </w:r>
      <w:r>
        <w:rPr>
          <w:rFonts w:ascii="宋体" w:eastAsia="宋体" w:hAnsi="宋体" w:cs="宋体" w:hint="eastAsia"/>
          <w:szCs w:val="21"/>
        </w:rPr>
        <w:t>刺梨</w:t>
      </w:r>
      <w:r>
        <w:rPr>
          <w:rFonts w:ascii="宋体" w:eastAsia="宋体" w:hAnsi="宋体" w:cs="宋体"/>
          <w:szCs w:val="21"/>
        </w:rPr>
        <w:t>营养有效供给的基础上减少化肥用量，兼顾元素之间的比例平衡</w:t>
      </w:r>
      <w:r>
        <w:rPr>
          <w:rFonts w:ascii="宋体" w:eastAsia="宋体" w:hAnsi="宋体" w:cs="宋体" w:hint="eastAsia"/>
          <w:szCs w:val="21"/>
        </w:rPr>
        <w:t>，开展测土配方，精准施肥，促进化肥减量增效。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7.2.2施肥方法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7.2.2.1基肥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对于成年树，在每年秋季采</w:t>
      </w:r>
      <w:proofErr w:type="gramStart"/>
      <w:r>
        <w:rPr>
          <w:rFonts w:ascii="宋体" w:eastAsia="宋体" w:hAnsi="宋体" w:cs="宋体"/>
          <w:szCs w:val="21"/>
        </w:rPr>
        <w:t>果工作</w:t>
      </w:r>
      <w:proofErr w:type="gramEnd"/>
      <w:r>
        <w:rPr>
          <w:rFonts w:ascii="宋体" w:eastAsia="宋体" w:hAnsi="宋体" w:cs="宋体"/>
          <w:szCs w:val="21"/>
        </w:rPr>
        <w:t>结束后，在10～11月施一次基肥，施有机肥1</w:t>
      </w:r>
      <w:r>
        <w:rPr>
          <w:rFonts w:ascii="宋体" w:eastAsia="宋体" w:hAnsi="宋体" w:cs="宋体" w:hint="eastAsia"/>
          <w:szCs w:val="21"/>
        </w:rPr>
        <w:t>300</w:t>
      </w:r>
      <w:r>
        <w:rPr>
          <w:rFonts w:ascii="宋体" w:eastAsia="宋体" w:hAnsi="宋体" w:cs="宋体"/>
          <w:szCs w:val="21"/>
        </w:rPr>
        <w:t>kg</w:t>
      </w:r>
      <w:r>
        <w:rPr>
          <w:rFonts w:ascii="宋体" w:eastAsia="宋体" w:hAnsi="宋体" w:cs="宋体" w:hint="eastAsia"/>
          <w:szCs w:val="21"/>
        </w:rPr>
        <w:t>/亩</w:t>
      </w:r>
      <w:r>
        <w:rPr>
          <w:rFonts w:ascii="宋体" w:eastAsia="宋体" w:hAnsi="宋体" w:cs="宋体"/>
          <w:szCs w:val="21"/>
        </w:rPr>
        <w:t>。对于幼树，可以每株穴施20kg～30kg有机肥。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7.2.2.2追肥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在2月苗木抽梢之前，需要对成年树追施一次菌肥，每株沟施5</w:t>
      </w:r>
      <w:r>
        <w:rPr>
          <w:rFonts w:ascii="宋体" w:eastAsia="宋体" w:hAnsi="宋体" w:cs="宋体" w:hint="eastAsia"/>
          <w:szCs w:val="21"/>
        </w:rPr>
        <w:t>kg</w:t>
      </w:r>
      <w:r>
        <w:rPr>
          <w:rFonts w:ascii="宋体" w:eastAsia="宋体" w:hAnsi="宋体" w:cs="宋体"/>
          <w:szCs w:val="21"/>
        </w:rPr>
        <w:t>～1</w:t>
      </w:r>
      <w:r>
        <w:rPr>
          <w:rFonts w:ascii="宋体" w:eastAsia="宋体" w:hAnsi="宋体" w:cs="宋体" w:hint="eastAsia"/>
          <w:szCs w:val="21"/>
        </w:rPr>
        <w:t>0</w:t>
      </w:r>
      <w:r>
        <w:rPr>
          <w:rFonts w:ascii="宋体" w:eastAsia="宋体" w:hAnsi="宋体" w:cs="宋体"/>
          <w:szCs w:val="21"/>
        </w:rPr>
        <w:t>kg生物菌肥</w:t>
      </w:r>
      <w:r>
        <w:rPr>
          <w:rFonts w:ascii="宋体" w:eastAsia="宋体" w:hAnsi="宋体" w:cs="宋体" w:hint="eastAsia"/>
          <w:szCs w:val="21"/>
        </w:rPr>
        <w:t>，但</w:t>
      </w:r>
      <w:r>
        <w:rPr>
          <w:rFonts w:ascii="宋体" w:eastAsia="宋体" w:hAnsi="宋体" w:cs="宋体" w:hint="eastAsia"/>
          <w:szCs w:val="21"/>
        </w:rPr>
        <w:lastRenderedPageBreak/>
        <w:t>避免</w:t>
      </w:r>
      <w:r>
        <w:rPr>
          <w:rFonts w:ascii="宋体" w:eastAsia="宋体" w:hAnsi="宋体" w:cs="宋体"/>
          <w:szCs w:val="21"/>
        </w:rPr>
        <w:t>在阳光直射下使用。每年6～7月，在树冠外围</w:t>
      </w:r>
      <w:proofErr w:type="gramStart"/>
      <w:r>
        <w:rPr>
          <w:rFonts w:ascii="宋体" w:eastAsia="宋体" w:hAnsi="宋体" w:cs="宋体"/>
          <w:szCs w:val="21"/>
        </w:rPr>
        <w:t>滴水线</w:t>
      </w:r>
      <w:proofErr w:type="gramEnd"/>
      <w:r>
        <w:rPr>
          <w:rFonts w:ascii="宋体" w:eastAsia="宋体" w:hAnsi="宋体" w:cs="宋体"/>
          <w:szCs w:val="21"/>
        </w:rPr>
        <w:t>处挖深15cm</w:t>
      </w:r>
      <w:r>
        <w:rPr>
          <w:rFonts w:ascii="宋体" w:eastAsia="宋体" w:hAnsi="宋体" w:cs="宋体" w:hint="eastAsia"/>
          <w:szCs w:val="21"/>
        </w:rPr>
        <w:t>～</w:t>
      </w:r>
      <w:r>
        <w:rPr>
          <w:rFonts w:ascii="宋体" w:eastAsia="宋体" w:hAnsi="宋体" w:cs="宋体"/>
          <w:szCs w:val="21"/>
        </w:rPr>
        <w:t>25cm、宽10cm</w:t>
      </w:r>
      <w:r>
        <w:rPr>
          <w:rFonts w:ascii="宋体" w:eastAsia="宋体" w:hAnsi="宋体" w:cs="宋体" w:hint="eastAsia"/>
          <w:szCs w:val="21"/>
        </w:rPr>
        <w:t>～</w:t>
      </w:r>
      <w:r>
        <w:rPr>
          <w:rFonts w:ascii="宋体" w:eastAsia="宋体" w:hAnsi="宋体" w:cs="宋体"/>
          <w:szCs w:val="21"/>
        </w:rPr>
        <w:t>20cm的扩穴沟，用环沟法每株施5kg</w:t>
      </w:r>
      <w:r>
        <w:rPr>
          <w:rFonts w:ascii="宋体" w:eastAsia="宋体" w:hAnsi="宋体" w:cs="宋体" w:hint="eastAsia"/>
          <w:szCs w:val="21"/>
        </w:rPr>
        <w:t>～</w:t>
      </w:r>
      <w:r>
        <w:rPr>
          <w:rFonts w:ascii="宋体" w:eastAsia="宋体" w:hAnsi="宋体" w:cs="宋体"/>
          <w:szCs w:val="21"/>
        </w:rPr>
        <w:t>10kg有机肥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/>
          <w:szCs w:val="21"/>
        </w:rPr>
        <w:t>施后覆土。落花后用0</w:t>
      </w:r>
      <w:r>
        <w:rPr>
          <w:rFonts w:ascii="宋体" w:eastAsia="宋体" w:hAnsi="宋体" w:cs="宋体" w:hint="eastAsia"/>
          <w:szCs w:val="21"/>
        </w:rPr>
        <w:t>.</w:t>
      </w:r>
      <w:r>
        <w:rPr>
          <w:rFonts w:ascii="宋体" w:eastAsia="宋体" w:hAnsi="宋体" w:cs="宋体"/>
          <w:szCs w:val="21"/>
        </w:rPr>
        <w:t>5%尿素液叶面喷施</w:t>
      </w:r>
      <w:r>
        <w:rPr>
          <w:rFonts w:ascii="宋体" w:eastAsia="宋体" w:hAnsi="宋体" w:cs="宋体" w:hint="eastAsia"/>
          <w:szCs w:val="21"/>
        </w:rPr>
        <w:t>一次；</w:t>
      </w:r>
      <w:r>
        <w:rPr>
          <w:rFonts w:ascii="宋体" w:eastAsia="宋体" w:hAnsi="宋体" w:cs="宋体"/>
          <w:szCs w:val="21"/>
        </w:rPr>
        <w:t>每年2月为幼树追施一次有机肥，施肥量为每株</w:t>
      </w:r>
      <w:r>
        <w:rPr>
          <w:rFonts w:ascii="宋体" w:eastAsia="宋体" w:hAnsi="宋体" w:cs="宋体" w:hint="eastAsia"/>
          <w:szCs w:val="21"/>
        </w:rPr>
        <w:t>2.5kg</w:t>
      </w:r>
      <w:r>
        <w:rPr>
          <w:rFonts w:ascii="宋体" w:eastAsia="宋体" w:hAnsi="宋体" w:cs="宋体"/>
          <w:szCs w:val="21"/>
        </w:rPr>
        <w:t>～5kg。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7.3病虫害防治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7.3.1防治原则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贯彻“预防为主，综合防治”的植保方针，按照病虫害的发生规律和经济阈值，以农业防治、物理防治、生物防治为主，化学防治为辅，科学、综合、协调利用各类防治手段，有效控制病虫危害。农药使用应符合NY/T 393的规定。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7.3.2常见病虫害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7.3.2.1常见病害</w:t>
      </w:r>
    </w:p>
    <w:p w:rsidR="004435CA" w:rsidRDefault="00C63579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白粉病、褐斑病、烟煤病。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7.3.2.2常见虫害</w:t>
      </w:r>
    </w:p>
    <w:p w:rsidR="004435CA" w:rsidRDefault="00C63579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梨小食心虫</w:t>
      </w:r>
      <w:r>
        <w:rPr>
          <w:rFonts w:ascii="宋体" w:eastAsia="宋体" w:hAnsi="宋体" w:cs="宋体" w:hint="eastAsia"/>
          <w:szCs w:val="21"/>
        </w:rPr>
        <w:t>、</w:t>
      </w:r>
      <w:proofErr w:type="gramStart"/>
      <w:r>
        <w:rPr>
          <w:rFonts w:ascii="宋体" w:eastAsia="宋体" w:hAnsi="宋体" w:cs="宋体" w:hint="eastAsia"/>
          <w:szCs w:val="21"/>
        </w:rPr>
        <w:t>橘</w:t>
      </w:r>
      <w:proofErr w:type="gramEnd"/>
      <w:r>
        <w:rPr>
          <w:rFonts w:ascii="宋体" w:eastAsia="宋体" w:hAnsi="宋体" w:cs="宋体" w:hint="eastAsia"/>
          <w:szCs w:val="21"/>
        </w:rPr>
        <w:t>小实蝇、桃蛀</w:t>
      </w:r>
      <w:proofErr w:type="gramStart"/>
      <w:r>
        <w:rPr>
          <w:rFonts w:ascii="宋体" w:eastAsia="宋体" w:hAnsi="宋体" w:cs="宋体" w:hint="eastAsia"/>
          <w:szCs w:val="21"/>
        </w:rPr>
        <w:t>螟</w:t>
      </w:r>
      <w:proofErr w:type="gramEnd"/>
      <w:r>
        <w:rPr>
          <w:rFonts w:ascii="宋体" w:eastAsia="宋体" w:hAnsi="宋体" w:cs="宋体" w:hint="eastAsia"/>
          <w:szCs w:val="21"/>
        </w:rPr>
        <w:t>、桃小食心虫、蚜虫、白粉</w:t>
      </w:r>
      <w:proofErr w:type="gramStart"/>
      <w:r>
        <w:rPr>
          <w:rFonts w:ascii="宋体" w:eastAsia="宋体" w:hAnsi="宋体" w:cs="宋体" w:hint="eastAsia"/>
          <w:szCs w:val="21"/>
        </w:rPr>
        <w:t>虱</w:t>
      </w:r>
      <w:proofErr w:type="gramEnd"/>
      <w:r>
        <w:rPr>
          <w:rFonts w:ascii="宋体" w:eastAsia="宋体" w:hAnsi="宋体" w:cs="宋体" w:hint="eastAsia"/>
          <w:szCs w:val="21"/>
        </w:rPr>
        <w:t>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7.3.3防治措施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7.3.3.1农业防治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合理选择苗圃田，科学选址建园，优化种植结构。在种植苗期选择抗性品种，选择利于灌溉和排水，土壤疏松肥沃，前茬作物病虫发生较少，避开重茬苗圃地作为育苗田；新建园区选择交通方便、地势开阔、水源条件好，但不易成涝、土质疏松、前茬作物无发生严重病虫的区域。加强刺梨植株的水肥管理，增强树势，注意施用底肥和追肥；对刺梨植株进行整形修剪，增加植株通透性，有效培育营养枝和结果枝，增强抗性，勤勘查病害发生情况，发现病株和病叶可除去感病枝条以及感病叶片，以减少病原菌的积累，缓解发病压力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7.3.3.2物理防治</w:t>
      </w:r>
    </w:p>
    <w:p w:rsidR="004435CA" w:rsidRDefault="00C63579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在刺梨园区内针对性的安装合理密度的诱虫灯，悬挂</w:t>
      </w:r>
      <w:proofErr w:type="gramStart"/>
      <w:r>
        <w:rPr>
          <w:rFonts w:ascii="宋体" w:eastAsia="宋体" w:hAnsi="宋体" w:cs="宋体" w:hint="eastAsia"/>
          <w:szCs w:val="21"/>
        </w:rPr>
        <w:t>诱虫黄</w:t>
      </w:r>
      <w:proofErr w:type="gramEnd"/>
      <w:r>
        <w:rPr>
          <w:rFonts w:ascii="宋体" w:eastAsia="宋体" w:hAnsi="宋体" w:cs="宋体" w:hint="eastAsia"/>
          <w:szCs w:val="21"/>
        </w:rPr>
        <w:t>板、性信息素诱捕器、糖醋液等。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7.3.3.3生物防治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充分发挥天敌的自然控制作用，保护和利用天敌，以菌治菌，使用生物农药。如林下养殖、适量引进和保护异色瓢虫、草蛉、食蚜蝇等捕食性天敌；林间套种对害虫具有趋避作用的植物；适时释放并保护赤眼蜂、姬蜂等生防蜂；使用微生物源农药及其他植物源或动物源农药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7.3.3.4化学防治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加强病虫预测预报，选择防治适期，提倡使用高效、低毒、低残留，与环境相容性好的农药，提倡兼治和不同作用机理农药交替使用，严格执行农药安全间隔期，推广使用新型高效施药器械，农药品种的选择和使用应符合 NY/T 393的规定。</w:t>
      </w:r>
    </w:p>
    <w:p w:rsidR="004435CA" w:rsidRDefault="00C63579" w:rsidP="00DB1762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7.4其他管理措施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lastRenderedPageBreak/>
        <w:t>7.4.1松土除草</w:t>
      </w:r>
    </w:p>
    <w:p w:rsidR="004435CA" w:rsidRDefault="00C63579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夏季雨水较多时，需要及时松土，避免土壤结块。5月、9月、11月人工铲除树冠周围杂草，也可根据当地杂草实际生长情况确定除草时间。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7.4.2整形修剪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7.4.2.1修剪原则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刺梨整形修剪要求</w:t>
      </w:r>
      <w:r>
        <w:rPr>
          <w:rFonts w:ascii="宋体" w:eastAsia="宋体" w:hAnsi="宋体" w:cs="宋体" w:hint="eastAsia"/>
          <w:szCs w:val="21"/>
        </w:rPr>
        <w:t>保持</w:t>
      </w:r>
      <w:r>
        <w:rPr>
          <w:rFonts w:ascii="宋体" w:eastAsia="宋体" w:hAnsi="宋体" w:cs="宋体"/>
          <w:szCs w:val="21"/>
        </w:rPr>
        <w:t>树高维持在1.5</w:t>
      </w:r>
      <w:r>
        <w:rPr>
          <w:rFonts w:ascii="宋体" w:eastAsia="宋体" w:hAnsi="宋体" w:cs="宋体" w:hint="eastAsia"/>
          <w:szCs w:val="21"/>
        </w:rPr>
        <w:t>m</w:t>
      </w:r>
      <w:r>
        <w:rPr>
          <w:rFonts w:ascii="宋体" w:eastAsia="宋体" w:hAnsi="宋体" w:cs="宋体"/>
          <w:szCs w:val="21"/>
        </w:rPr>
        <w:t>～2.0m，冠幅1.5m，</w:t>
      </w:r>
      <w:proofErr w:type="gramStart"/>
      <w:r>
        <w:rPr>
          <w:rFonts w:ascii="宋体" w:eastAsia="宋体" w:hAnsi="宋体" w:cs="宋体"/>
          <w:szCs w:val="21"/>
        </w:rPr>
        <w:t>全丛保留</w:t>
      </w:r>
      <w:proofErr w:type="gramEnd"/>
      <w:r>
        <w:rPr>
          <w:rFonts w:ascii="宋体" w:eastAsia="宋体" w:hAnsi="宋体" w:cs="宋体"/>
          <w:szCs w:val="21"/>
        </w:rPr>
        <w:t>5～8个主枝，所有结果母枝交错分布。在定植初期，由刺梨植株自行生长，形成树冠，其后逐步修剪过密、过长、下垂枝条。</w:t>
      </w:r>
      <w:r>
        <w:rPr>
          <w:rFonts w:ascii="宋体" w:eastAsia="宋体" w:hAnsi="宋体" w:cs="宋体" w:hint="eastAsia"/>
          <w:szCs w:val="21"/>
        </w:rPr>
        <w:t>幼树修剪</w:t>
      </w:r>
      <w:r>
        <w:rPr>
          <w:rFonts w:ascii="宋体" w:eastAsia="宋体" w:hAnsi="宋体" w:cs="宋体"/>
          <w:szCs w:val="21"/>
        </w:rPr>
        <w:t>以轻剪为主</w:t>
      </w:r>
      <w:r>
        <w:rPr>
          <w:rFonts w:ascii="宋体" w:eastAsia="宋体" w:hAnsi="宋体" w:cs="宋体" w:hint="eastAsia"/>
          <w:szCs w:val="21"/>
        </w:rPr>
        <w:t>，</w:t>
      </w:r>
      <w:proofErr w:type="gramStart"/>
      <w:r>
        <w:rPr>
          <w:rFonts w:ascii="宋体" w:eastAsia="宋体" w:hAnsi="宋体" w:cs="宋体"/>
          <w:szCs w:val="21"/>
        </w:rPr>
        <w:t>通过疏梢选定</w:t>
      </w:r>
      <w:proofErr w:type="gramEnd"/>
      <w:r>
        <w:rPr>
          <w:rFonts w:ascii="宋体" w:eastAsia="宋体" w:hAnsi="宋体" w:cs="宋体"/>
          <w:szCs w:val="21"/>
        </w:rPr>
        <w:t>和培养主枝、副主枝</w: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/>
          <w:szCs w:val="21"/>
        </w:rPr>
        <w:t>主枝过多</w:t>
      </w:r>
      <w:r>
        <w:rPr>
          <w:rFonts w:ascii="宋体" w:eastAsia="宋体" w:hAnsi="宋体" w:cs="宋体" w:hint="eastAsia"/>
          <w:szCs w:val="21"/>
        </w:rPr>
        <w:t>时</w:t>
      </w:r>
      <w:r>
        <w:rPr>
          <w:rFonts w:ascii="宋体" w:eastAsia="宋体" w:hAnsi="宋体" w:cs="宋体"/>
          <w:szCs w:val="21"/>
        </w:rPr>
        <w:t>适当疏</w:t>
      </w:r>
      <w:proofErr w:type="gramStart"/>
      <w:r>
        <w:rPr>
          <w:rFonts w:ascii="宋体" w:eastAsia="宋体" w:hAnsi="宋体" w:cs="宋体"/>
          <w:szCs w:val="21"/>
        </w:rPr>
        <w:t>删</w:t>
      </w:r>
      <w:proofErr w:type="gramEnd"/>
      <w:r>
        <w:rPr>
          <w:rFonts w:ascii="宋体" w:eastAsia="宋体" w:hAnsi="宋体" w:cs="宋体"/>
          <w:szCs w:val="21"/>
        </w:rPr>
        <w:t>。</w:t>
      </w:r>
      <w:r>
        <w:rPr>
          <w:rFonts w:ascii="宋体" w:eastAsia="宋体" w:hAnsi="宋体" w:cs="宋体" w:hint="eastAsia"/>
          <w:szCs w:val="21"/>
        </w:rPr>
        <w:t>成年树盛果期树的修剪量不</w:t>
      </w:r>
      <w:proofErr w:type="gramStart"/>
      <w:r>
        <w:rPr>
          <w:rFonts w:ascii="宋体" w:eastAsia="宋体" w:hAnsi="宋体" w:cs="宋体" w:hint="eastAsia"/>
          <w:szCs w:val="21"/>
        </w:rPr>
        <w:t>低于总枝量</w:t>
      </w:r>
      <w:proofErr w:type="gramEnd"/>
      <w:r>
        <w:rPr>
          <w:rFonts w:ascii="宋体" w:eastAsia="宋体" w:hAnsi="宋体" w:cs="宋体" w:hint="eastAsia"/>
          <w:szCs w:val="21"/>
        </w:rPr>
        <w:t>的15%，</w:t>
      </w:r>
      <w:r>
        <w:rPr>
          <w:rFonts w:ascii="宋体" w:eastAsia="宋体" w:hAnsi="宋体" w:cs="宋体"/>
          <w:szCs w:val="21"/>
        </w:rPr>
        <w:t>采取冬夏修剪结合的方式完成结果母株的培养，最终实现立体结果。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7.4.2.2冬剪</w:t>
      </w:r>
    </w:p>
    <w:p w:rsidR="004435CA" w:rsidRDefault="00C63579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冬剪在落叶后，剪除枯枝、病虫枝、衰老枝、过密枝和纤弱枝等。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7.4.2.3夏剪</w:t>
      </w:r>
    </w:p>
    <w:p w:rsidR="004435CA" w:rsidRDefault="00C63579">
      <w:pPr>
        <w:spacing w:line="400" w:lineRule="atLeast"/>
        <w:ind w:firstLineChars="200" w:firstLine="420"/>
        <w:contextualSpacing/>
        <w:rPr>
          <w:rFonts w:ascii="宋体" w:hAnsi="宋体" w:cs="宋体"/>
        </w:rPr>
      </w:pPr>
      <w:proofErr w:type="gramStart"/>
      <w:r>
        <w:rPr>
          <w:rFonts w:ascii="宋体" w:hAnsi="宋体" w:cs="宋体" w:hint="eastAsia"/>
        </w:rPr>
        <w:t>夏剪在</w:t>
      </w:r>
      <w:proofErr w:type="gramEnd"/>
      <w:r>
        <w:rPr>
          <w:rFonts w:ascii="宋体" w:hAnsi="宋体" w:cs="宋体" w:hint="eastAsia"/>
        </w:rPr>
        <w:t>6月初，</w:t>
      </w:r>
      <w:proofErr w:type="gramStart"/>
      <w:r>
        <w:rPr>
          <w:rFonts w:ascii="宋体" w:hAnsi="宋体" w:cs="宋体" w:hint="eastAsia"/>
        </w:rPr>
        <w:t>疏除过密</w:t>
      </w:r>
      <w:proofErr w:type="gramEnd"/>
      <w:r>
        <w:rPr>
          <w:rFonts w:ascii="宋体" w:hAnsi="宋体" w:cs="宋体" w:hint="eastAsia"/>
        </w:rPr>
        <w:t>枝，剪除内膛荫蔽枝，对超过树冠</w:t>
      </w:r>
      <w:proofErr w:type="gramStart"/>
      <w:r>
        <w:rPr>
          <w:rFonts w:ascii="宋体" w:hAnsi="宋体" w:cs="宋体" w:hint="eastAsia"/>
        </w:rPr>
        <w:t>的强梢摘心</w:t>
      </w:r>
      <w:proofErr w:type="gramEnd"/>
      <w:r>
        <w:rPr>
          <w:rFonts w:ascii="宋体" w:hAnsi="宋体" w:cs="宋体" w:hint="eastAsia"/>
        </w:rPr>
        <w:t>或短剪。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7.4.2.4</w:t>
      </w:r>
      <w:r>
        <w:rPr>
          <w:rFonts w:ascii="黑体" w:eastAsia="黑体" w:hAnsi="黑体" w:cs="黑体"/>
          <w:szCs w:val="21"/>
        </w:rPr>
        <w:t>隔行台</w:t>
      </w:r>
      <w:proofErr w:type="gramStart"/>
      <w:r>
        <w:rPr>
          <w:rFonts w:ascii="黑体" w:eastAsia="黑体" w:hAnsi="黑体" w:cs="黑体"/>
          <w:szCs w:val="21"/>
        </w:rPr>
        <w:t>刈</w:t>
      </w:r>
      <w:proofErr w:type="gramEnd"/>
      <w:r>
        <w:rPr>
          <w:rFonts w:ascii="黑体" w:eastAsia="黑体" w:hAnsi="黑体" w:cs="黑体"/>
          <w:szCs w:val="21"/>
        </w:rPr>
        <w:t>更新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对于严重衰老的</w:t>
      </w:r>
      <w:r>
        <w:rPr>
          <w:rFonts w:ascii="宋体" w:eastAsia="宋体" w:hAnsi="宋体" w:cs="宋体" w:hint="eastAsia"/>
          <w:szCs w:val="21"/>
        </w:rPr>
        <w:t>低产</w:t>
      </w:r>
      <w:r>
        <w:rPr>
          <w:rFonts w:ascii="宋体" w:eastAsia="宋体" w:hAnsi="宋体" w:cs="宋体"/>
          <w:szCs w:val="21"/>
        </w:rPr>
        <w:t>刺梨园，</w:t>
      </w:r>
      <w:r>
        <w:rPr>
          <w:rFonts w:ascii="宋体" w:eastAsia="宋体" w:hAnsi="宋体" w:cs="宋体" w:hint="eastAsia"/>
          <w:szCs w:val="21"/>
        </w:rPr>
        <w:t>可</w:t>
      </w:r>
      <w:r>
        <w:rPr>
          <w:rFonts w:ascii="宋体" w:eastAsia="宋体" w:hAnsi="宋体" w:cs="宋体"/>
          <w:szCs w:val="21"/>
        </w:rPr>
        <w:t>从</w:t>
      </w:r>
      <w:r>
        <w:rPr>
          <w:rFonts w:ascii="宋体" w:eastAsia="宋体" w:hAnsi="宋体" w:cs="宋体" w:hint="eastAsia"/>
          <w:szCs w:val="21"/>
        </w:rPr>
        <w:t>距</w:t>
      </w:r>
      <w:r>
        <w:rPr>
          <w:rFonts w:ascii="宋体" w:eastAsia="宋体" w:hAnsi="宋体" w:cs="宋体"/>
          <w:szCs w:val="21"/>
        </w:rPr>
        <w:t>地面20cm处剪除全部大枝</w:t>
      </w:r>
      <w:r>
        <w:rPr>
          <w:rFonts w:ascii="宋体" w:eastAsia="宋体" w:hAnsi="宋体" w:cs="宋体" w:hint="eastAsia"/>
          <w:szCs w:val="21"/>
        </w:rPr>
        <w:t>或主干</w:t>
      </w:r>
      <w:r>
        <w:rPr>
          <w:rFonts w:ascii="宋体" w:eastAsia="宋体" w:hAnsi="宋体" w:cs="宋体"/>
          <w:szCs w:val="21"/>
        </w:rPr>
        <w:t>，保留20cm</w:t>
      </w:r>
      <w:proofErr w:type="gramStart"/>
      <w:r>
        <w:rPr>
          <w:rFonts w:ascii="宋体" w:eastAsia="宋体" w:hAnsi="宋体" w:cs="宋体"/>
          <w:szCs w:val="21"/>
        </w:rPr>
        <w:t>高丛桩</w:t>
      </w:r>
      <w:proofErr w:type="gramEnd"/>
      <w:r>
        <w:rPr>
          <w:rFonts w:ascii="宋体" w:eastAsia="宋体" w:hAnsi="宋体" w:cs="宋体"/>
          <w:szCs w:val="21"/>
        </w:rPr>
        <w:t>。台</w:t>
      </w:r>
      <w:proofErr w:type="gramStart"/>
      <w:r>
        <w:rPr>
          <w:rFonts w:ascii="宋体" w:eastAsia="宋体" w:hAnsi="宋体" w:cs="宋体"/>
          <w:szCs w:val="21"/>
        </w:rPr>
        <w:t>刈</w:t>
      </w:r>
      <w:proofErr w:type="gramEnd"/>
      <w:r>
        <w:rPr>
          <w:rFonts w:ascii="宋体" w:eastAsia="宋体" w:hAnsi="宋体" w:cs="宋体"/>
          <w:szCs w:val="21"/>
        </w:rPr>
        <w:t>更新后，</w:t>
      </w:r>
      <w:r>
        <w:rPr>
          <w:rFonts w:ascii="宋体" w:eastAsia="宋体" w:hAnsi="宋体" w:cs="宋体" w:hint="eastAsia"/>
          <w:szCs w:val="21"/>
        </w:rPr>
        <w:t>对土壤</w:t>
      </w:r>
      <w:r>
        <w:rPr>
          <w:rFonts w:ascii="宋体" w:eastAsia="宋体" w:hAnsi="宋体" w:cs="宋体"/>
          <w:szCs w:val="21"/>
        </w:rPr>
        <w:t>深翻20cm</w:t>
      </w:r>
      <w:r>
        <w:rPr>
          <w:rFonts w:ascii="宋体" w:eastAsia="宋体" w:hAnsi="宋体" w:cs="宋体" w:hint="eastAsia"/>
          <w:szCs w:val="21"/>
        </w:rPr>
        <w:t>～30</w:t>
      </w:r>
      <w:r>
        <w:rPr>
          <w:rFonts w:ascii="宋体" w:eastAsia="宋体" w:hAnsi="宋体" w:cs="宋体"/>
          <w:szCs w:val="21"/>
        </w:rPr>
        <w:t>cm，每株施有机肥10kg</w:t>
      </w:r>
      <w:r>
        <w:rPr>
          <w:rFonts w:ascii="宋体" w:eastAsia="宋体" w:hAnsi="宋体" w:cs="宋体" w:hint="eastAsia"/>
          <w:szCs w:val="21"/>
        </w:rPr>
        <w:t>～</w:t>
      </w:r>
      <w:r>
        <w:rPr>
          <w:rFonts w:ascii="宋体" w:eastAsia="宋体" w:hAnsi="宋体" w:cs="宋体"/>
          <w:szCs w:val="21"/>
        </w:rPr>
        <w:t>15kg</w:t>
      </w:r>
      <w:r>
        <w:rPr>
          <w:rFonts w:ascii="宋体" w:eastAsia="宋体" w:hAnsi="宋体" w:cs="宋体" w:hint="eastAsia"/>
          <w:szCs w:val="21"/>
        </w:rPr>
        <w:t>，春季及早定梢，从萌生枝条中</w:t>
      </w:r>
      <w:r>
        <w:rPr>
          <w:rFonts w:ascii="宋体" w:eastAsia="宋体" w:hAnsi="宋体" w:cs="宋体"/>
          <w:szCs w:val="21"/>
        </w:rPr>
        <w:t>选留</w:t>
      </w:r>
      <w:r>
        <w:rPr>
          <w:rFonts w:ascii="宋体" w:eastAsia="宋体" w:hAnsi="宋体" w:cs="宋体" w:hint="eastAsia"/>
          <w:szCs w:val="21"/>
        </w:rPr>
        <w:t>15～</w:t>
      </w:r>
      <w:r>
        <w:rPr>
          <w:rFonts w:ascii="宋体" w:eastAsia="宋体" w:hAnsi="宋体" w:cs="宋体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7</w:t>
      </w:r>
      <w:r>
        <w:rPr>
          <w:rFonts w:ascii="宋体" w:eastAsia="宋体" w:hAnsi="宋体" w:cs="宋体"/>
          <w:szCs w:val="21"/>
        </w:rPr>
        <w:t>个</w:t>
      </w:r>
      <w:proofErr w:type="gramStart"/>
      <w:r>
        <w:rPr>
          <w:rFonts w:ascii="宋体" w:eastAsia="宋体" w:hAnsi="宋体" w:cs="宋体"/>
          <w:szCs w:val="21"/>
        </w:rPr>
        <w:t>强梢培养</w:t>
      </w:r>
      <w:proofErr w:type="gramEnd"/>
      <w:r>
        <w:rPr>
          <w:rFonts w:ascii="宋体" w:eastAsia="宋体" w:hAnsi="宋体" w:cs="宋体"/>
          <w:szCs w:val="21"/>
        </w:rPr>
        <w:t>成为结果母枝</w:t>
      </w:r>
      <w:r>
        <w:rPr>
          <w:rFonts w:ascii="宋体" w:eastAsia="宋体" w:hAnsi="宋体" w:cs="宋体" w:hint="eastAsia"/>
          <w:szCs w:val="21"/>
        </w:rPr>
        <w:t>群，台</w:t>
      </w:r>
      <w:proofErr w:type="gramStart"/>
      <w:r>
        <w:rPr>
          <w:rFonts w:ascii="宋体" w:eastAsia="宋体" w:hAnsi="宋体" w:cs="宋体" w:hint="eastAsia"/>
          <w:szCs w:val="21"/>
        </w:rPr>
        <w:t>刈</w:t>
      </w:r>
      <w:proofErr w:type="gramEnd"/>
      <w:r>
        <w:rPr>
          <w:rFonts w:ascii="宋体" w:eastAsia="宋体" w:hAnsi="宋体" w:cs="宋体" w:hint="eastAsia"/>
          <w:szCs w:val="21"/>
        </w:rPr>
        <w:t>更新</w:t>
      </w:r>
      <w:r>
        <w:rPr>
          <w:rFonts w:ascii="宋体" w:eastAsia="宋体" w:hAnsi="宋体" w:cs="宋体"/>
          <w:szCs w:val="21"/>
        </w:rPr>
        <w:t>2年</w:t>
      </w:r>
      <w:r>
        <w:rPr>
          <w:rFonts w:ascii="宋体" w:eastAsia="宋体" w:hAnsi="宋体" w:cs="宋体" w:hint="eastAsia"/>
          <w:szCs w:val="21"/>
        </w:rPr>
        <w:t>～</w:t>
      </w:r>
      <w:r>
        <w:rPr>
          <w:rFonts w:ascii="宋体" w:eastAsia="宋体" w:hAnsi="宋体" w:cs="宋体"/>
          <w:szCs w:val="21"/>
        </w:rPr>
        <w:t>3年后进行常规修剪。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7.4.3</w:t>
      </w:r>
      <w:r>
        <w:rPr>
          <w:rFonts w:ascii="黑体" w:eastAsia="黑体" w:hAnsi="黑体" w:cs="黑体"/>
          <w:szCs w:val="21"/>
        </w:rPr>
        <w:t>疏花</w:t>
      </w:r>
      <w:proofErr w:type="gramStart"/>
      <w:r>
        <w:rPr>
          <w:rFonts w:ascii="黑体" w:eastAsia="黑体" w:hAnsi="黑体" w:cs="黑体"/>
          <w:szCs w:val="21"/>
        </w:rPr>
        <w:t>疏果</w:t>
      </w:r>
      <w:proofErr w:type="gramEnd"/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在5月中旬后开放的晚花一律摘除，确保果实成熟期一致。在6月第二次生理落果结束后，将畸形</w:t>
      </w:r>
      <w:proofErr w:type="gramStart"/>
      <w:r>
        <w:rPr>
          <w:rFonts w:ascii="宋体" w:eastAsia="宋体" w:hAnsi="宋体" w:cs="宋体"/>
          <w:szCs w:val="21"/>
        </w:rPr>
        <w:t>果全部疏</w:t>
      </w:r>
      <w:proofErr w:type="gramEnd"/>
      <w:r>
        <w:rPr>
          <w:rFonts w:ascii="宋体" w:eastAsia="宋体" w:hAnsi="宋体" w:cs="宋体"/>
          <w:szCs w:val="21"/>
        </w:rPr>
        <w:t>除。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 采收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8.1采收时间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每年8月中旬至10月初，在果实接近完熟、果皮由</w:t>
      </w:r>
      <w:proofErr w:type="gramStart"/>
      <w:r>
        <w:rPr>
          <w:rFonts w:ascii="宋体" w:eastAsia="宋体" w:hAnsi="宋体" w:cs="宋体" w:hint="eastAsia"/>
          <w:szCs w:val="21"/>
        </w:rPr>
        <w:t>绿开始</w:t>
      </w:r>
      <w:proofErr w:type="gramEnd"/>
      <w:r>
        <w:rPr>
          <w:rFonts w:ascii="宋体" w:eastAsia="宋体" w:hAnsi="宋体" w:cs="宋体" w:hint="eastAsia"/>
          <w:szCs w:val="21"/>
        </w:rPr>
        <w:t>转为黄色或橙色时采收。采收时间选早晚或晴天，禁止雨天采收。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8.2采收方法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采摘时戴帆布手套，用手掌托住果实，满把握，向侧扳，不要扭转，注意不能用手指按压果实，以免果实受伤。</w:t>
      </w:r>
    </w:p>
    <w:p w:rsidR="004435CA" w:rsidRDefault="00C63579">
      <w:pPr>
        <w:spacing w:line="400" w:lineRule="atLeast"/>
        <w:contextualSpacing/>
        <w:rPr>
          <w:rFonts w:ascii="宋体" w:eastAsia="宋体" w:hAnsi="宋体" w:cs="宋体"/>
          <w:szCs w:val="21"/>
        </w:rPr>
      </w:pPr>
      <w:r>
        <w:rPr>
          <w:rFonts w:ascii="黑体" w:eastAsia="黑体" w:hAnsi="黑体" w:cs="黑体" w:hint="eastAsia"/>
          <w:szCs w:val="21"/>
        </w:rPr>
        <w:t>8.3收后处理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先剔除病虫果、受伤果和畸形果，然后按进行散装，必须严格控制鲜品质量。建立采收信息，做好产品采收销售记录，以便进行质量追溯。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9 生产废弃物的处理</w:t>
      </w:r>
    </w:p>
    <w:p w:rsidR="004435CA" w:rsidRDefault="00C63579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果园中的落叶和修剪下的枝条，带出园外进行无害化处理。修剪下的枝条，经粉碎、堆沤后，作为有机肥还田。废弃的地膜、农药包装袋等</w:t>
      </w:r>
      <w:proofErr w:type="gramStart"/>
      <w:r>
        <w:rPr>
          <w:rFonts w:ascii="宋体" w:eastAsia="宋体" w:hAnsi="宋体" w:cs="宋体" w:hint="eastAsia"/>
          <w:szCs w:val="21"/>
        </w:rPr>
        <w:t>应收集好进行</w:t>
      </w:r>
      <w:proofErr w:type="gramEnd"/>
      <w:r>
        <w:rPr>
          <w:rFonts w:ascii="宋体" w:eastAsia="宋体" w:hAnsi="宋体" w:cs="宋体" w:hint="eastAsia"/>
          <w:szCs w:val="21"/>
        </w:rPr>
        <w:t>集中处理。</w:t>
      </w:r>
    </w:p>
    <w:p w:rsidR="004435CA" w:rsidRDefault="00C63579">
      <w:pPr>
        <w:spacing w:beforeLines="50" w:before="156" w:afterLines="50" w:after="156"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lastRenderedPageBreak/>
        <w:t>10 运输储藏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10.1储藏设施与存放要求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储藏温度为8℃，空气湿度为70%。仓库应通风、干燥、避光，并具有防鼠、虫的措施。地面应整洁、无缝隙、易清洁。存放时应与墙壁保持足够距离，防止虫蛀、霉变。定期检查，发现腐烂变质产品立即清除，不能与有毒或有异味的物品混合储藏。</w:t>
      </w:r>
    </w:p>
    <w:p w:rsidR="004435CA" w:rsidRDefault="00C63579">
      <w:pPr>
        <w:spacing w:line="400" w:lineRule="atLeast"/>
        <w:contextualSpacing/>
        <w:rPr>
          <w:rFonts w:ascii="宋体" w:eastAsia="宋体" w:hAnsi="宋体" w:cs="宋体"/>
          <w:szCs w:val="21"/>
        </w:rPr>
      </w:pPr>
      <w:r>
        <w:rPr>
          <w:rFonts w:ascii="黑体" w:eastAsia="黑体" w:hAnsi="黑体" w:cs="黑体" w:hint="eastAsia"/>
          <w:szCs w:val="21"/>
        </w:rPr>
        <w:t>10.2储藏管理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储藏管理应符合NY/T 1056的要求，并建立卫生管理制度，设专人管理。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10.3包装材料</w:t>
      </w:r>
    </w:p>
    <w:p w:rsidR="004435CA" w:rsidRDefault="00C63579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包装物应清洁、牢固、无毒、无污染、无异味，安全卫生要求符合NY/T 658</w:t>
      </w:r>
      <w:r>
        <w:rPr>
          <w:rFonts w:ascii="宋体" w:eastAsia="宋体" w:hAnsi="宋体" w:cs="宋体" w:hint="eastAsia"/>
          <w:szCs w:val="21"/>
        </w:rPr>
        <w:t>的规定。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10.4出库、入库</w:t>
      </w:r>
    </w:p>
    <w:p w:rsidR="004435CA" w:rsidRDefault="00C63579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做好产品进出库及销售记录，以便进行质量追溯。严格执行绿色食品平行生产管理制度，产品经检验合格后，方准入库。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10.5运输工具</w:t>
      </w:r>
    </w:p>
    <w:p w:rsidR="004435CA" w:rsidRDefault="00C63579">
      <w:pPr>
        <w:spacing w:line="400" w:lineRule="atLeast"/>
        <w:ind w:firstLineChars="200" w:firstLine="420"/>
        <w:contextualSpacing/>
        <w:rPr>
          <w:rFonts w:eastAsia="宋体" w:hAnsi="Times New Roman" w:cs="Times New Roman"/>
        </w:rPr>
      </w:pPr>
      <w:r>
        <w:rPr>
          <w:rFonts w:eastAsia="宋体" w:hAnsi="Times New Roman" w:cs="Times New Roman" w:hint="eastAsia"/>
        </w:rPr>
        <w:t>可选择火车、船舶、汽车等，运输工具在装运前应清理干净。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10.6运输要求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运输时不应与其它有毒、有害、有异味的物质混装，采用专车专用。运载容器应具有较好的通气性，保持清洁、干燥、无异味、无污染，应有防晒、防潮、防雨、防污染的措施。纸箱装卸时应轻拿轻放，不得横置，避免冲击。</w:t>
      </w:r>
    </w:p>
    <w:p w:rsidR="004435CA" w:rsidRDefault="00C63579">
      <w:pPr>
        <w:spacing w:line="400" w:lineRule="atLeast"/>
        <w:contextualSpacing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11 生产档案管理</w:t>
      </w:r>
    </w:p>
    <w:p w:rsidR="004435CA" w:rsidRDefault="00C63579" w:rsidP="00DB1762">
      <w:pPr>
        <w:spacing w:beforeLines="50" w:before="156" w:afterLines="50" w:after="156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建立绿色食品刺梨生产档案并保存相关记录。记录内容包括肥水管理、病虫害发生和防治、采收及采后处理、包装、销售记录，以及产品销售后的申、投诉记录等，记录至少保存3年以上。</w:t>
      </w: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>
      <w:pPr>
        <w:ind w:firstLineChars="200" w:firstLine="420"/>
      </w:pPr>
    </w:p>
    <w:p w:rsidR="004435CA" w:rsidRDefault="004435CA"/>
    <w:p w:rsidR="004435CA" w:rsidRDefault="004435CA">
      <w:pPr>
        <w:ind w:firstLineChars="200" w:firstLine="420"/>
      </w:pPr>
    </w:p>
    <w:sectPr w:rsidR="004435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42343A0" w15:done="0"/>
  <w15:commentEx w15:paraId="60E202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A5D" w:rsidRDefault="00980A5D" w:rsidP="00DB1762">
      <w:r>
        <w:separator/>
      </w:r>
    </w:p>
  </w:endnote>
  <w:endnote w:type="continuationSeparator" w:id="0">
    <w:p w:rsidR="00980A5D" w:rsidRDefault="00980A5D" w:rsidP="00DB1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A5D" w:rsidRDefault="00980A5D" w:rsidP="00DB1762">
      <w:r>
        <w:separator/>
      </w:r>
    </w:p>
  </w:footnote>
  <w:footnote w:type="continuationSeparator" w:id="0">
    <w:p w:rsidR="00980A5D" w:rsidRDefault="00980A5D" w:rsidP="00DB1762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dell">
    <w15:presenceInfo w15:providerId="None" w15:userId="dell"/>
  </w15:person>
  <w15:person w15:author="战狼">
    <w15:presenceInfo w15:providerId="WPS Office" w15:userId="756696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B20"/>
    <w:rsid w:val="000546FB"/>
    <w:rsid w:val="001C6DCB"/>
    <w:rsid w:val="0042764A"/>
    <w:rsid w:val="004435CA"/>
    <w:rsid w:val="004764AA"/>
    <w:rsid w:val="004828B3"/>
    <w:rsid w:val="00494FE6"/>
    <w:rsid w:val="00570D0C"/>
    <w:rsid w:val="00612DBE"/>
    <w:rsid w:val="006B78B6"/>
    <w:rsid w:val="0079402B"/>
    <w:rsid w:val="008A75FF"/>
    <w:rsid w:val="008B4A99"/>
    <w:rsid w:val="008B7534"/>
    <w:rsid w:val="008D35DF"/>
    <w:rsid w:val="00980A5D"/>
    <w:rsid w:val="00AC3370"/>
    <w:rsid w:val="00C63579"/>
    <w:rsid w:val="00C861BD"/>
    <w:rsid w:val="00C907F4"/>
    <w:rsid w:val="00CC6E4B"/>
    <w:rsid w:val="00D12E6B"/>
    <w:rsid w:val="00DB1762"/>
    <w:rsid w:val="00E4745F"/>
    <w:rsid w:val="00E64B20"/>
    <w:rsid w:val="00F05764"/>
    <w:rsid w:val="00F07895"/>
    <w:rsid w:val="00F1291D"/>
    <w:rsid w:val="00F220CA"/>
    <w:rsid w:val="00F41932"/>
    <w:rsid w:val="00F85CC0"/>
    <w:rsid w:val="02637807"/>
    <w:rsid w:val="03446191"/>
    <w:rsid w:val="049B6B02"/>
    <w:rsid w:val="04AA7A2F"/>
    <w:rsid w:val="06140C62"/>
    <w:rsid w:val="076D3B7C"/>
    <w:rsid w:val="082E2697"/>
    <w:rsid w:val="0867443A"/>
    <w:rsid w:val="09961C0B"/>
    <w:rsid w:val="0A812AD3"/>
    <w:rsid w:val="0AC81B3E"/>
    <w:rsid w:val="0B0676EA"/>
    <w:rsid w:val="0C6C288B"/>
    <w:rsid w:val="0C9D20A6"/>
    <w:rsid w:val="0CCA5383"/>
    <w:rsid w:val="0DF74691"/>
    <w:rsid w:val="0E356BB9"/>
    <w:rsid w:val="0F3C082A"/>
    <w:rsid w:val="0FAF0BE8"/>
    <w:rsid w:val="10462332"/>
    <w:rsid w:val="10C115B0"/>
    <w:rsid w:val="116C60EB"/>
    <w:rsid w:val="11CC767D"/>
    <w:rsid w:val="1255471E"/>
    <w:rsid w:val="13891AAB"/>
    <w:rsid w:val="13C9270D"/>
    <w:rsid w:val="163239DD"/>
    <w:rsid w:val="17BF1F5F"/>
    <w:rsid w:val="17BF5896"/>
    <w:rsid w:val="17DD68ED"/>
    <w:rsid w:val="188C3543"/>
    <w:rsid w:val="18EE3DD7"/>
    <w:rsid w:val="19D72858"/>
    <w:rsid w:val="1C4C3EE4"/>
    <w:rsid w:val="1C4E1EEB"/>
    <w:rsid w:val="1CF75FEB"/>
    <w:rsid w:val="1E214FC1"/>
    <w:rsid w:val="1E4567B2"/>
    <w:rsid w:val="1E7514A4"/>
    <w:rsid w:val="1ED94056"/>
    <w:rsid w:val="1EDE3E4C"/>
    <w:rsid w:val="1EE57BCB"/>
    <w:rsid w:val="209018E5"/>
    <w:rsid w:val="20FA4B34"/>
    <w:rsid w:val="212F0D4F"/>
    <w:rsid w:val="21E10D37"/>
    <w:rsid w:val="227A6D28"/>
    <w:rsid w:val="22CC6736"/>
    <w:rsid w:val="23114A37"/>
    <w:rsid w:val="24BA0684"/>
    <w:rsid w:val="25820160"/>
    <w:rsid w:val="25AF6AAC"/>
    <w:rsid w:val="274A278F"/>
    <w:rsid w:val="29720C02"/>
    <w:rsid w:val="29BA10F0"/>
    <w:rsid w:val="2AF41F89"/>
    <w:rsid w:val="2C9F3CBC"/>
    <w:rsid w:val="2DA91EAC"/>
    <w:rsid w:val="2DF333D8"/>
    <w:rsid w:val="2F24126A"/>
    <w:rsid w:val="303543E4"/>
    <w:rsid w:val="30D532D7"/>
    <w:rsid w:val="315E0520"/>
    <w:rsid w:val="319D3AA1"/>
    <w:rsid w:val="32A10A0C"/>
    <w:rsid w:val="32F35C36"/>
    <w:rsid w:val="33142B8D"/>
    <w:rsid w:val="334E7760"/>
    <w:rsid w:val="340334C2"/>
    <w:rsid w:val="34161EE7"/>
    <w:rsid w:val="34B655D6"/>
    <w:rsid w:val="355D60E7"/>
    <w:rsid w:val="35B278CB"/>
    <w:rsid w:val="361F5300"/>
    <w:rsid w:val="36855085"/>
    <w:rsid w:val="384F58BD"/>
    <w:rsid w:val="389D5DDD"/>
    <w:rsid w:val="3AD231C9"/>
    <w:rsid w:val="3B0D1357"/>
    <w:rsid w:val="3F067D7A"/>
    <w:rsid w:val="3F2A3AFF"/>
    <w:rsid w:val="42524838"/>
    <w:rsid w:val="43726DF9"/>
    <w:rsid w:val="43AB19BB"/>
    <w:rsid w:val="44F15B29"/>
    <w:rsid w:val="464D1247"/>
    <w:rsid w:val="47192117"/>
    <w:rsid w:val="47B108AA"/>
    <w:rsid w:val="47C514D5"/>
    <w:rsid w:val="48410CCD"/>
    <w:rsid w:val="485F4AD6"/>
    <w:rsid w:val="489E0463"/>
    <w:rsid w:val="4A6277CE"/>
    <w:rsid w:val="4AEE1C6B"/>
    <w:rsid w:val="4B5E242E"/>
    <w:rsid w:val="4B7E74FC"/>
    <w:rsid w:val="4BF356C0"/>
    <w:rsid w:val="4CE2369C"/>
    <w:rsid w:val="4D1253EA"/>
    <w:rsid w:val="4DAC727D"/>
    <w:rsid w:val="50026CA6"/>
    <w:rsid w:val="505B1CEF"/>
    <w:rsid w:val="51303D02"/>
    <w:rsid w:val="513522B6"/>
    <w:rsid w:val="51E00DBD"/>
    <w:rsid w:val="54AA06BE"/>
    <w:rsid w:val="54BD5B39"/>
    <w:rsid w:val="54E43D00"/>
    <w:rsid w:val="559308F1"/>
    <w:rsid w:val="55966591"/>
    <w:rsid w:val="563B7547"/>
    <w:rsid w:val="57846D64"/>
    <w:rsid w:val="57EA1FC3"/>
    <w:rsid w:val="592F6812"/>
    <w:rsid w:val="5A680A7C"/>
    <w:rsid w:val="5B5A57CB"/>
    <w:rsid w:val="5C8623BA"/>
    <w:rsid w:val="5CBA27B9"/>
    <w:rsid w:val="5D031995"/>
    <w:rsid w:val="5D0A3424"/>
    <w:rsid w:val="5D512642"/>
    <w:rsid w:val="5D73147B"/>
    <w:rsid w:val="5E0B4248"/>
    <w:rsid w:val="5E1C1231"/>
    <w:rsid w:val="5E254101"/>
    <w:rsid w:val="5E421043"/>
    <w:rsid w:val="5E7C6ECC"/>
    <w:rsid w:val="60B3043E"/>
    <w:rsid w:val="617C75E3"/>
    <w:rsid w:val="62130FE0"/>
    <w:rsid w:val="63D60A7E"/>
    <w:rsid w:val="64522A15"/>
    <w:rsid w:val="64743606"/>
    <w:rsid w:val="65165D99"/>
    <w:rsid w:val="65C75020"/>
    <w:rsid w:val="665F2230"/>
    <w:rsid w:val="66EA7D45"/>
    <w:rsid w:val="67C41164"/>
    <w:rsid w:val="67FD4622"/>
    <w:rsid w:val="684D5B5B"/>
    <w:rsid w:val="689514B9"/>
    <w:rsid w:val="68CB019B"/>
    <w:rsid w:val="69605BB2"/>
    <w:rsid w:val="698D5949"/>
    <w:rsid w:val="6A4619A1"/>
    <w:rsid w:val="6A7903BC"/>
    <w:rsid w:val="6A7E43A2"/>
    <w:rsid w:val="6AAE4636"/>
    <w:rsid w:val="6B617A6C"/>
    <w:rsid w:val="6BE50234"/>
    <w:rsid w:val="6F2A5341"/>
    <w:rsid w:val="71527710"/>
    <w:rsid w:val="719325AE"/>
    <w:rsid w:val="71E44726"/>
    <w:rsid w:val="72171205"/>
    <w:rsid w:val="72844A0D"/>
    <w:rsid w:val="73396954"/>
    <w:rsid w:val="74385B93"/>
    <w:rsid w:val="746F3B5D"/>
    <w:rsid w:val="75590428"/>
    <w:rsid w:val="758B1670"/>
    <w:rsid w:val="765B2E5C"/>
    <w:rsid w:val="784E3EA3"/>
    <w:rsid w:val="788A1F5F"/>
    <w:rsid w:val="78A771C6"/>
    <w:rsid w:val="790D43A4"/>
    <w:rsid w:val="792858DE"/>
    <w:rsid w:val="7977290C"/>
    <w:rsid w:val="7BE93790"/>
    <w:rsid w:val="7CEC35AF"/>
    <w:rsid w:val="7D6E7963"/>
    <w:rsid w:val="7D8B074C"/>
    <w:rsid w:val="7E6F78E5"/>
    <w:rsid w:val="7E7917BA"/>
    <w:rsid w:val="7F713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annotation subject"/>
    <w:basedOn w:val="a3"/>
    <w:next w:val="a3"/>
    <w:link w:val="Char1"/>
    <w:qFormat/>
    <w:rPr>
      <w:b/>
      <w:bCs/>
    </w:r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8">
    <w:name w:val="annotation reference"/>
    <w:basedOn w:val="a0"/>
    <w:qFormat/>
    <w:rPr>
      <w:sz w:val="21"/>
      <w:szCs w:val="21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a9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批注主题 Char"/>
    <w:basedOn w:val="Char"/>
    <w:link w:val="a5"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styleId="aa">
    <w:name w:val="header"/>
    <w:basedOn w:val="a"/>
    <w:link w:val="Char2"/>
    <w:rsid w:val="00DB1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rsid w:val="00DB176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footer"/>
    <w:basedOn w:val="a"/>
    <w:link w:val="Char3"/>
    <w:rsid w:val="00DB17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b"/>
    <w:rsid w:val="00DB176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annotation subject"/>
    <w:basedOn w:val="a3"/>
    <w:next w:val="a3"/>
    <w:link w:val="Char1"/>
    <w:qFormat/>
    <w:rPr>
      <w:b/>
      <w:bCs/>
    </w:r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8">
    <w:name w:val="annotation reference"/>
    <w:basedOn w:val="a0"/>
    <w:qFormat/>
    <w:rPr>
      <w:sz w:val="21"/>
      <w:szCs w:val="21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a9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character" w:customStyle="1" w:styleId="Char0">
    <w:name w:val="批注框文本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1">
    <w:name w:val="批注主题 Char"/>
    <w:basedOn w:val="Char"/>
    <w:link w:val="a5"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styleId="aa">
    <w:name w:val="header"/>
    <w:basedOn w:val="a"/>
    <w:link w:val="Char2"/>
    <w:rsid w:val="00DB17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a"/>
    <w:rsid w:val="00DB176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footer"/>
    <w:basedOn w:val="a"/>
    <w:link w:val="Char3"/>
    <w:rsid w:val="00DB17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b"/>
    <w:rsid w:val="00DB176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2180EF-2E65-475A-89A0-E4877BCB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728</Words>
  <Characters>4151</Characters>
  <Application>Microsoft Office Word</Application>
  <DocSecurity>0</DocSecurity>
  <Lines>34</Lines>
  <Paragraphs>9</Paragraphs>
  <ScaleCrop>false</ScaleCrop>
  <Company/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TONY TANG</cp:lastModifiedBy>
  <cp:revision>20</cp:revision>
  <cp:lastPrinted>2021-12-13T09:29:00Z</cp:lastPrinted>
  <dcterms:created xsi:type="dcterms:W3CDTF">2021-09-13T01:10:00Z</dcterms:created>
  <dcterms:modified xsi:type="dcterms:W3CDTF">2022-04-13T08:12:00Z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65D4B225275E4EEA8F5A3BB32AA2B877</vt:lpwstr>
  </property>
</Properties>
</file>