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37BF" w:rsidRDefault="00CF37BF">
      <w:pPr>
        <w:pStyle w:val="10"/>
        <w:spacing w:beforeLines="50" w:before="156" w:afterLines="50" w:after="156" w:line="400" w:lineRule="atLeast"/>
        <w:ind w:firstLineChars="0" w:firstLine="0"/>
        <w:contextualSpacing/>
        <w:jc w:val="distribute"/>
        <w:rPr>
          <w:rFonts w:eastAsia="黑体" w:hint="eastAsia"/>
          <w:sz w:val="44"/>
          <w:szCs w:val="44"/>
        </w:rPr>
      </w:pPr>
    </w:p>
    <w:p w:rsidR="00CF37BF" w:rsidRDefault="00562902">
      <w:pPr>
        <w:pStyle w:val="10"/>
        <w:spacing w:beforeLines="50" w:before="156" w:afterLines="50" w:after="156" w:line="400" w:lineRule="atLeast"/>
        <w:ind w:left="357" w:firstLineChars="0" w:firstLine="0"/>
        <w:contextualSpacing/>
        <w:jc w:val="distribute"/>
        <w:rPr>
          <w:rFonts w:eastAsia="黑体"/>
          <w:sz w:val="48"/>
          <w:szCs w:val="48"/>
        </w:rPr>
      </w:pPr>
      <w:r>
        <w:rPr>
          <w:rFonts w:eastAsia="黑体"/>
          <w:sz w:val="48"/>
          <w:szCs w:val="48"/>
        </w:rPr>
        <w:t>绿色食品生产操作规程</w:t>
      </w:r>
    </w:p>
    <w:p w:rsidR="00CF37BF" w:rsidRPr="00E103E6" w:rsidRDefault="00E103E6" w:rsidP="00E103E6">
      <w:pPr>
        <w:pStyle w:val="10"/>
        <w:wordWrap w:val="0"/>
        <w:spacing w:beforeLines="50" w:before="156" w:afterLines="50" w:after="156" w:line="400" w:lineRule="atLeast"/>
        <w:ind w:left="357" w:firstLineChars="0" w:firstLine="0"/>
        <w:contextualSpacing/>
        <w:jc w:val="right"/>
        <w:rPr>
          <w:rFonts w:ascii="黑体" w:eastAsia="黑体" w:hAnsi="黑体"/>
          <w:sz w:val="28"/>
          <w:szCs w:val="28"/>
        </w:rPr>
      </w:pPr>
      <w:r>
        <w:rPr>
          <w:rFonts w:eastAsia="黑体" w:hint="eastAsia"/>
          <w:sz w:val="28"/>
          <w:szCs w:val="28"/>
        </w:rPr>
        <w:t>L</w:t>
      </w:r>
      <w:r>
        <w:rPr>
          <w:rFonts w:eastAsia="黑体"/>
          <w:sz w:val="28"/>
          <w:szCs w:val="28"/>
        </w:rPr>
        <w:t xml:space="preserve">B/T </w:t>
      </w:r>
      <w:r w:rsidRPr="00E103E6">
        <w:rPr>
          <w:rFonts w:ascii="黑体" w:eastAsia="黑体" w:hAnsi="黑体" w:hint="eastAsia"/>
          <w:sz w:val="28"/>
          <w:szCs w:val="28"/>
        </w:rPr>
        <w:t>322</w:t>
      </w:r>
      <w:r w:rsidRPr="00E103E6">
        <w:rPr>
          <w:rFonts w:ascii="黑体" w:eastAsia="黑体" w:hAnsi="黑体"/>
          <w:sz w:val="28"/>
          <w:szCs w:val="28"/>
        </w:rPr>
        <w:t>-2025</w:t>
      </w:r>
    </w:p>
    <w:p w:rsidR="00CF37BF" w:rsidRDefault="00562902">
      <w:pPr>
        <w:pStyle w:val="10"/>
        <w:spacing w:beforeLines="50" w:before="156" w:afterLines="50" w:after="156" w:line="400" w:lineRule="atLeast"/>
        <w:ind w:left="357" w:firstLineChars="0" w:firstLine="0"/>
        <w:contextualSpacing/>
        <w:jc w:val="right"/>
        <w:rPr>
          <w:rFonts w:eastAsia="黑体"/>
          <w:sz w:val="28"/>
          <w:szCs w:val="28"/>
        </w:rPr>
      </w:pPr>
      <w:r>
        <w:rPr>
          <w:noProof/>
        </w:rPr>
        <mc:AlternateContent>
          <mc:Choice Requires="wps">
            <w:drawing>
              <wp:anchor distT="0" distB="0" distL="114300" distR="114300" simplePos="0" relativeHeight="251660288" behindDoc="0" locked="0" layoutInCell="1" allowOverlap="1" wp14:anchorId="04B82296" wp14:editId="27137FE1">
                <wp:simplePos x="0" y="0"/>
                <wp:positionH relativeFrom="column">
                  <wp:posOffset>160020</wp:posOffset>
                </wp:positionH>
                <wp:positionV relativeFrom="paragraph">
                  <wp:posOffset>76200</wp:posOffset>
                </wp:positionV>
                <wp:extent cx="5173980" cy="0"/>
                <wp:effectExtent l="0" t="4445" r="0" b="5080"/>
                <wp:wrapNone/>
                <wp:docPr id="2" name="直接箭头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73980" cy="0"/>
                        </a:xfrm>
                        <a:prstGeom prst="straightConnector1">
                          <a:avLst/>
                        </a:prstGeom>
                        <a:noFill/>
                        <a:ln w="9525">
                          <a:solidFill>
                            <a:srgbClr val="000000"/>
                          </a:solidFill>
                          <a:round/>
                        </a:ln>
                        <a:effectLst/>
                      </wps:spPr>
                      <wps:bodyPr/>
                    </wps:wsp>
                  </a:graphicData>
                </a:graphic>
              </wp:anchor>
            </w:drawing>
          </mc:Choice>
          <mc:Fallback>
            <w:pict>
              <v:shapetype w14:anchorId="187BD2B5" id="_x0000_t32" coordsize="21600,21600" o:spt="32" o:oned="t" path="m,l21600,21600e" filled="f">
                <v:path arrowok="t" fillok="f" o:connecttype="none"/>
                <o:lock v:ext="edit" shapetype="t"/>
              </v:shapetype>
              <v:shape id="直接箭头连接符 2" o:spid="_x0000_s1026" type="#_x0000_t32" style="position:absolute;left:0;text-align:left;margin-left:12.6pt;margin-top:6pt;width:407.4pt;height:0;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"/>
            </w:pict>
          </mc:Fallback>
        </mc:AlternateContent>
      </w:r>
    </w:p>
    <w:p w:rsidR="00CF37BF" w:rsidRDefault="00CF37BF">
      <w:pPr>
        <w:pStyle w:val="10"/>
        <w:spacing w:beforeLines="50" w:before="156" w:afterLines="50" w:after="156" w:line="400" w:lineRule="atLeast"/>
        <w:ind w:left="357" w:firstLineChars="0" w:firstLine="0"/>
        <w:contextualSpacing/>
        <w:jc w:val="center"/>
        <w:rPr>
          <w:rFonts w:eastAsia="黑体"/>
          <w:sz w:val="32"/>
          <w:szCs w:val="32"/>
        </w:rPr>
      </w:pPr>
    </w:p>
    <w:p w:rsidR="00CF37BF" w:rsidRDefault="00CF37BF">
      <w:pPr>
        <w:pStyle w:val="10"/>
        <w:spacing w:beforeLines="50" w:before="156" w:afterLines="50" w:after="156" w:line="400" w:lineRule="atLeast"/>
        <w:ind w:left="357" w:firstLineChars="0" w:firstLine="0"/>
        <w:contextualSpacing/>
        <w:jc w:val="center"/>
        <w:rPr>
          <w:rFonts w:eastAsia="黑体"/>
          <w:sz w:val="32"/>
          <w:szCs w:val="32"/>
        </w:rPr>
      </w:pPr>
    </w:p>
    <w:p w:rsidR="00CF37BF" w:rsidRDefault="00CF37BF">
      <w:pPr>
        <w:pStyle w:val="10"/>
        <w:spacing w:beforeLines="50" w:before="156" w:afterLines="50" w:after="156" w:line="400" w:lineRule="atLeast"/>
        <w:ind w:left="357" w:firstLineChars="0" w:firstLine="0"/>
        <w:contextualSpacing/>
        <w:jc w:val="center"/>
        <w:rPr>
          <w:rFonts w:eastAsia="黑体"/>
          <w:sz w:val="32"/>
          <w:szCs w:val="32"/>
        </w:rPr>
      </w:pPr>
    </w:p>
    <w:p w:rsidR="00CF37BF" w:rsidRDefault="00CF37BF">
      <w:pPr>
        <w:pStyle w:val="10"/>
        <w:spacing w:beforeLines="50" w:before="156" w:afterLines="50" w:after="156" w:line="400" w:lineRule="atLeast"/>
        <w:ind w:left="357" w:firstLineChars="0" w:firstLine="0"/>
        <w:contextualSpacing/>
        <w:jc w:val="center"/>
        <w:rPr>
          <w:rFonts w:eastAsia="黑体"/>
          <w:sz w:val="32"/>
          <w:szCs w:val="32"/>
        </w:rPr>
      </w:pPr>
    </w:p>
    <w:p w:rsidR="00CF37BF" w:rsidRDefault="00562902" w:rsidP="001A1E35">
      <w:pPr>
        <w:pStyle w:val="10"/>
        <w:spacing w:beforeLines="50" w:before="156" w:afterLines="50" w:after="156" w:line="360" w:lineRule="auto"/>
        <w:ind w:firstLineChars="0" w:firstLine="0"/>
        <w:contextualSpacing/>
        <w:jc w:val="center"/>
        <w:rPr>
          <w:rFonts w:eastAsia="黑体"/>
          <w:sz w:val="48"/>
          <w:szCs w:val="48"/>
        </w:rPr>
      </w:pPr>
      <w:r>
        <w:rPr>
          <w:rFonts w:eastAsia="黑体"/>
          <w:sz w:val="48"/>
          <w:szCs w:val="48"/>
        </w:rPr>
        <w:t>东北地区</w:t>
      </w:r>
    </w:p>
    <w:p w:rsidR="00CF37BF" w:rsidRDefault="00562902" w:rsidP="001A1E35">
      <w:pPr>
        <w:pStyle w:val="10"/>
        <w:spacing w:beforeLines="50" w:before="156" w:afterLines="50" w:after="156" w:line="360" w:lineRule="auto"/>
        <w:ind w:firstLineChars="0" w:firstLine="0"/>
        <w:contextualSpacing/>
        <w:jc w:val="center"/>
        <w:rPr>
          <w:rFonts w:eastAsia="黑体"/>
          <w:sz w:val="48"/>
          <w:szCs w:val="48"/>
        </w:rPr>
      </w:pPr>
      <w:r>
        <w:rPr>
          <w:rFonts w:eastAsia="黑体"/>
          <w:sz w:val="48"/>
          <w:szCs w:val="48"/>
        </w:rPr>
        <w:t>绿色食品李子生产操作规程</w:t>
      </w:r>
    </w:p>
    <w:p w:rsidR="00CF37BF" w:rsidRDefault="00CF37BF" w:rsidP="006218EC">
      <w:pPr>
        <w:pStyle w:val="10"/>
        <w:spacing w:beforeLines="50" w:before="156" w:afterLines="50" w:after="156" w:line="400" w:lineRule="atLeast"/>
        <w:ind w:firstLineChars="0" w:firstLine="0"/>
        <w:contextualSpacing/>
        <w:jc w:val="center"/>
        <w:rPr>
          <w:rFonts w:eastAsia="黑体"/>
          <w:sz w:val="32"/>
          <w:szCs w:val="32"/>
        </w:rPr>
      </w:pPr>
    </w:p>
    <w:p w:rsidR="00CF37BF" w:rsidRDefault="00CF37BF" w:rsidP="006218EC">
      <w:pPr>
        <w:pStyle w:val="10"/>
        <w:spacing w:beforeLines="50" w:before="156" w:afterLines="50" w:after="156" w:line="400" w:lineRule="atLeast"/>
        <w:ind w:left="357" w:firstLineChars="0" w:firstLine="0"/>
        <w:contextualSpacing/>
        <w:jc w:val="center"/>
        <w:rPr>
          <w:rFonts w:eastAsia="黑体"/>
          <w:sz w:val="32"/>
          <w:szCs w:val="32"/>
        </w:rPr>
      </w:pPr>
    </w:p>
    <w:p w:rsidR="00CF37BF" w:rsidRDefault="00CF37BF" w:rsidP="006218EC">
      <w:pPr>
        <w:pStyle w:val="10"/>
        <w:spacing w:beforeLines="50" w:before="156" w:afterLines="50" w:after="156" w:line="400" w:lineRule="atLeast"/>
        <w:ind w:left="357" w:firstLineChars="0" w:firstLine="0"/>
        <w:contextualSpacing/>
        <w:jc w:val="center"/>
        <w:rPr>
          <w:rFonts w:eastAsia="黑体"/>
          <w:sz w:val="32"/>
          <w:szCs w:val="32"/>
        </w:rPr>
      </w:pPr>
    </w:p>
    <w:p w:rsidR="00CF37BF" w:rsidRDefault="00CF37BF" w:rsidP="006218EC">
      <w:pPr>
        <w:pStyle w:val="10"/>
        <w:spacing w:beforeLines="50" w:before="156" w:afterLines="50" w:after="156" w:line="400" w:lineRule="atLeast"/>
        <w:ind w:firstLineChars="0" w:firstLine="0"/>
        <w:contextualSpacing/>
        <w:jc w:val="center"/>
        <w:rPr>
          <w:rFonts w:eastAsia="黑体"/>
          <w:sz w:val="32"/>
          <w:szCs w:val="32"/>
        </w:rPr>
      </w:pPr>
    </w:p>
    <w:p w:rsidR="00CF37BF" w:rsidRDefault="00CF37BF" w:rsidP="006218EC">
      <w:pPr>
        <w:pStyle w:val="10"/>
        <w:spacing w:beforeLines="50" w:before="156" w:afterLines="50" w:after="156" w:line="400" w:lineRule="atLeast"/>
        <w:ind w:firstLineChars="0" w:firstLine="0"/>
        <w:contextualSpacing/>
        <w:jc w:val="center"/>
        <w:rPr>
          <w:rFonts w:eastAsia="黑体"/>
          <w:sz w:val="32"/>
          <w:szCs w:val="32"/>
        </w:rPr>
      </w:pPr>
    </w:p>
    <w:p w:rsidR="00CF37BF" w:rsidRDefault="00CF37BF" w:rsidP="006218EC">
      <w:pPr>
        <w:pStyle w:val="10"/>
        <w:spacing w:beforeLines="50" w:before="156" w:afterLines="50" w:after="156" w:line="400" w:lineRule="atLeast"/>
        <w:ind w:firstLineChars="0" w:firstLine="0"/>
        <w:contextualSpacing/>
        <w:jc w:val="center"/>
        <w:rPr>
          <w:rFonts w:eastAsia="黑体"/>
          <w:sz w:val="32"/>
          <w:szCs w:val="32"/>
        </w:rPr>
      </w:pPr>
    </w:p>
    <w:p w:rsidR="00CF37BF" w:rsidRDefault="00CF37BF" w:rsidP="006218EC">
      <w:pPr>
        <w:pStyle w:val="10"/>
        <w:spacing w:beforeLines="50" w:before="156" w:afterLines="50" w:after="156" w:line="400" w:lineRule="atLeast"/>
        <w:ind w:left="357" w:firstLineChars="0" w:firstLine="0"/>
        <w:contextualSpacing/>
        <w:jc w:val="center"/>
        <w:rPr>
          <w:rFonts w:eastAsia="黑体"/>
          <w:sz w:val="32"/>
          <w:szCs w:val="32"/>
        </w:rPr>
      </w:pPr>
    </w:p>
    <w:p w:rsidR="006218EC" w:rsidRDefault="006218EC" w:rsidP="006218EC">
      <w:pPr>
        <w:pStyle w:val="10"/>
        <w:spacing w:beforeLines="50" w:before="156" w:afterLines="50" w:after="156" w:line="400" w:lineRule="atLeast"/>
        <w:ind w:left="357" w:firstLineChars="0" w:firstLine="0"/>
        <w:contextualSpacing/>
        <w:jc w:val="center"/>
        <w:rPr>
          <w:rFonts w:eastAsia="黑体"/>
          <w:sz w:val="32"/>
          <w:szCs w:val="32"/>
        </w:rPr>
      </w:pPr>
      <w:bookmarkStart w:id="0" w:name="_GoBack"/>
      <w:bookmarkEnd w:id="0"/>
    </w:p>
    <w:p w:rsidR="00CF37BF" w:rsidRDefault="00CF37BF" w:rsidP="006218EC">
      <w:pPr>
        <w:pStyle w:val="10"/>
        <w:spacing w:beforeLines="50" w:before="156" w:afterLines="50" w:after="156" w:line="400" w:lineRule="atLeast"/>
        <w:ind w:left="357" w:firstLineChars="0" w:firstLine="0"/>
        <w:contextualSpacing/>
        <w:jc w:val="center"/>
        <w:rPr>
          <w:rFonts w:eastAsia="黑体"/>
          <w:sz w:val="32"/>
          <w:szCs w:val="32"/>
        </w:rPr>
      </w:pPr>
    </w:p>
    <w:p w:rsidR="00CF37BF" w:rsidRPr="00E103E6" w:rsidRDefault="000218B1">
      <w:pPr>
        <w:pStyle w:val="10"/>
        <w:spacing w:beforeLines="50" w:before="156" w:afterLines="50" w:after="156" w:line="400" w:lineRule="atLeast"/>
        <w:ind w:left="357" w:firstLineChars="0" w:firstLine="0"/>
        <w:contextualSpacing/>
        <w:jc w:val="left"/>
        <w:rPr>
          <w:rFonts w:ascii="黑体" w:eastAsia="黑体" w:hAnsi="黑体"/>
          <w:sz w:val="28"/>
          <w:szCs w:val="28"/>
        </w:rPr>
      </w:pPr>
      <w:r w:rsidRPr="00E103E6">
        <w:rPr>
          <w:rFonts w:ascii="黑体" w:eastAsia="黑体" w:hAnsi="黑体"/>
          <w:sz w:val="28"/>
          <w:szCs w:val="28"/>
        </w:rPr>
        <w:t>2025</w:t>
      </w:r>
      <w:r w:rsidR="00A840CB">
        <w:rPr>
          <w:rFonts w:ascii="黑体" w:eastAsia="黑体" w:hAnsi="黑体"/>
          <w:sz w:val="28"/>
          <w:szCs w:val="28"/>
        </w:rPr>
        <w:t>-</w:t>
      </w:r>
      <w:r w:rsidR="00A840CB">
        <w:rPr>
          <w:rFonts w:ascii="黑体" w:eastAsia="黑体" w:hAnsi="黑体" w:hint="eastAsia"/>
          <w:sz w:val="28"/>
          <w:szCs w:val="28"/>
        </w:rPr>
        <w:t>04</w:t>
      </w:r>
      <w:r w:rsidR="00A840CB">
        <w:rPr>
          <w:rFonts w:ascii="黑体" w:eastAsia="黑体" w:hAnsi="黑体"/>
          <w:sz w:val="28"/>
          <w:szCs w:val="28"/>
        </w:rPr>
        <w:t>-</w:t>
      </w:r>
      <w:r w:rsidR="00A840CB">
        <w:rPr>
          <w:rFonts w:ascii="黑体" w:eastAsia="黑体" w:hAnsi="黑体" w:hint="eastAsia"/>
          <w:sz w:val="28"/>
          <w:szCs w:val="28"/>
        </w:rPr>
        <w:t>01</w:t>
      </w:r>
      <w:r w:rsidR="00562902" w:rsidRPr="00E103E6">
        <w:rPr>
          <w:rFonts w:ascii="黑体" w:eastAsia="黑体" w:hAnsi="黑体"/>
          <w:sz w:val="28"/>
          <w:szCs w:val="28"/>
        </w:rPr>
        <w:t>发布</w:t>
      </w:r>
      <w:r w:rsidR="00E103E6">
        <w:rPr>
          <w:rFonts w:ascii="黑体" w:eastAsia="黑体" w:hAnsi="黑体"/>
          <w:sz w:val="28"/>
          <w:szCs w:val="28"/>
        </w:rPr>
        <w:t xml:space="preserve">       </w:t>
      </w:r>
      <w:r w:rsidR="00E103E6">
        <w:rPr>
          <w:rFonts w:ascii="黑体" w:eastAsia="黑体" w:hAnsi="黑体" w:hint="eastAsia"/>
          <w:sz w:val="28"/>
          <w:szCs w:val="28"/>
        </w:rPr>
        <w:t xml:space="preserve"> </w:t>
      </w:r>
      <w:r w:rsidR="00A840CB">
        <w:rPr>
          <w:rFonts w:ascii="黑体" w:eastAsia="黑体" w:hAnsi="黑体" w:hint="eastAsia"/>
          <w:sz w:val="28"/>
          <w:szCs w:val="28"/>
        </w:rPr>
        <w:t xml:space="preserve">     </w:t>
      </w:r>
      <w:r w:rsidR="00E103E6">
        <w:rPr>
          <w:rFonts w:ascii="黑体" w:eastAsia="黑体" w:hAnsi="黑体" w:hint="eastAsia"/>
          <w:sz w:val="28"/>
          <w:szCs w:val="28"/>
        </w:rPr>
        <w:t xml:space="preserve">        </w:t>
      </w:r>
      <w:r w:rsidRPr="00E103E6">
        <w:rPr>
          <w:rFonts w:ascii="黑体" w:eastAsia="黑体" w:hAnsi="黑体"/>
          <w:sz w:val="28"/>
          <w:szCs w:val="28"/>
        </w:rPr>
        <w:t xml:space="preserve">   2025</w:t>
      </w:r>
      <w:r w:rsidR="00A840CB">
        <w:rPr>
          <w:rFonts w:ascii="黑体" w:eastAsia="黑体" w:hAnsi="黑体"/>
          <w:sz w:val="28"/>
          <w:szCs w:val="28"/>
        </w:rPr>
        <w:t>-</w:t>
      </w:r>
      <w:r w:rsidR="00A840CB">
        <w:rPr>
          <w:rFonts w:ascii="黑体" w:eastAsia="黑体" w:hAnsi="黑体" w:hint="eastAsia"/>
          <w:sz w:val="28"/>
          <w:szCs w:val="28"/>
        </w:rPr>
        <w:t>04</w:t>
      </w:r>
      <w:r w:rsidR="00A840CB">
        <w:rPr>
          <w:rFonts w:ascii="黑体" w:eastAsia="黑体" w:hAnsi="黑体"/>
          <w:sz w:val="28"/>
          <w:szCs w:val="28"/>
        </w:rPr>
        <w:t>-</w:t>
      </w:r>
      <w:r w:rsidR="00A840CB">
        <w:rPr>
          <w:rFonts w:ascii="黑体" w:eastAsia="黑体" w:hAnsi="黑体" w:hint="eastAsia"/>
          <w:sz w:val="28"/>
          <w:szCs w:val="28"/>
        </w:rPr>
        <w:t>01</w:t>
      </w:r>
      <w:r w:rsidR="00562902" w:rsidRPr="00E103E6">
        <w:rPr>
          <w:rFonts w:ascii="黑体" w:eastAsia="黑体" w:hAnsi="黑体"/>
          <w:sz w:val="28"/>
          <w:szCs w:val="28"/>
        </w:rPr>
        <w:t>实施</w:t>
      </w:r>
    </w:p>
    <w:p w:rsidR="00CF37BF" w:rsidRDefault="00562902">
      <w:pPr>
        <w:pStyle w:val="10"/>
        <w:spacing w:beforeLines="50" w:before="156" w:afterLines="50" w:after="156" w:line="400" w:lineRule="atLeast"/>
        <w:ind w:left="357" w:firstLineChars="0" w:firstLine="0"/>
        <w:contextualSpacing/>
        <w:jc w:val="left"/>
        <w:rPr>
          <w:rFonts w:eastAsia="黑体"/>
          <w:sz w:val="24"/>
          <w:szCs w:val="24"/>
        </w:rPr>
      </w:pPr>
      <w:r>
        <w:rPr>
          <w:noProof/>
        </w:rPr>
        <mc:AlternateContent>
          <mc:Choice Requires="wps">
            <w:drawing>
              <wp:anchor distT="0" distB="0" distL="114300" distR="114300" simplePos="0" relativeHeight="251659264" behindDoc="0" locked="0" layoutInCell="1" allowOverlap="1" wp14:anchorId="321D94BC" wp14:editId="33DFBA67">
                <wp:simplePos x="0" y="0"/>
                <wp:positionH relativeFrom="column">
                  <wp:posOffset>205740</wp:posOffset>
                </wp:positionH>
                <wp:positionV relativeFrom="paragraph">
                  <wp:posOffset>114300</wp:posOffset>
                </wp:positionV>
                <wp:extent cx="4853940" cy="15240"/>
                <wp:effectExtent l="0" t="4445" r="3810" b="8890"/>
                <wp:wrapNone/>
                <wp:docPr id="1" name="直接箭头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53940" cy="15240"/>
                        </a:xfrm>
                        <a:prstGeom prst="straightConnector1">
                          <a:avLst/>
                        </a:prstGeom>
                        <a:noFill/>
                        <a:ln w="9525">
                          <a:solidFill>
                            <a:srgbClr val="000000"/>
                          </a:solidFill>
                          <a:round/>
                        </a:ln>
                        <a:effectLst/>
                      </wps:spPr>
                      <wps:bodyPr/>
                    </wps:wsp>
                  </a:graphicData>
                </a:graphic>
                <wp14:sizeRelH relativeFrom="margin">
                  <wp14:pctWidth>0</wp14:pctWidth>
                </wp14:sizeRelH>
                <wp14:sizeRelV relativeFrom="margin">
                  <wp14:pctHeight>0</wp14:pctHeight>
                </wp14:sizeRelV>
              </wp:anchor>
            </w:drawing>
          </mc:Choice>
          <mc:Fallback>
            <w:pict>
              <v:shape w14:anchorId="4D217231" id="直接箭头连接符 1" o:spid="_x0000_s1026" type="#_x0000_t32" style="position:absolute;left:0;text-align:left;margin-left:16.2pt;margin-top:9pt;width:382.2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"/>
            </w:pict>
          </mc:Fallback>
        </mc:AlternateContent>
      </w:r>
    </w:p>
    <w:p w:rsidR="006218EC" w:rsidRDefault="00562902" w:rsidP="006218EC">
      <w:pPr>
        <w:pStyle w:val="10"/>
        <w:spacing w:beforeLines="50" w:before="156" w:afterLines="50" w:after="156" w:line="400" w:lineRule="atLeast"/>
        <w:ind w:left="357" w:firstLineChars="0" w:firstLine="0"/>
        <w:contextualSpacing/>
        <w:jc w:val="center"/>
        <w:rPr>
          <w:rFonts w:eastAsia="黑体"/>
          <w:sz w:val="28"/>
          <w:szCs w:val="28"/>
        </w:rPr>
        <w:sectPr w:rsidR="006218EC">
          <w:headerReference w:type="even" r:id="rId8"/>
          <w:headerReference w:type="default" r:id="rId9"/>
          <w:footerReference w:type="even" r:id="rId10"/>
          <w:footerReference w:type="default" r:id="rId11"/>
          <w:headerReference w:type="first" r:id="rId12"/>
          <w:footerReference w:type="first" r:id="rId13"/>
          <w:pgSz w:w="11906" w:h="16838"/>
          <w:pgMar w:top="1440" w:right="1797" w:bottom="1440" w:left="1797" w:header="851" w:footer="992" w:gutter="0"/>
          <w:cols w:space="720"/>
          <w:docGrid w:type="lines" w:linePitch="312"/>
        </w:sectPr>
      </w:pPr>
      <w:r>
        <w:rPr>
          <w:rFonts w:eastAsia="华文中宋"/>
          <w:spacing w:val="71"/>
          <w:kern w:val="0"/>
          <w:sz w:val="32"/>
          <w:szCs w:val="32"/>
          <w:fitText w:val="4480" w:id="1485375788"/>
        </w:rPr>
        <w:t>中国绿色食品发展中</w:t>
      </w:r>
      <w:r>
        <w:rPr>
          <w:rFonts w:eastAsia="华文中宋"/>
          <w:spacing w:val="1"/>
          <w:kern w:val="0"/>
          <w:sz w:val="32"/>
          <w:szCs w:val="32"/>
          <w:fitText w:val="4480" w:id="1485375788"/>
        </w:rPr>
        <w:t>心</w:t>
      </w:r>
      <w:r>
        <w:rPr>
          <w:rFonts w:eastAsia="华文中宋"/>
          <w:kern w:val="0"/>
          <w:sz w:val="32"/>
          <w:szCs w:val="32"/>
        </w:rPr>
        <w:t xml:space="preserve">  </w:t>
      </w:r>
      <w:r>
        <w:rPr>
          <w:rFonts w:eastAsia="黑体"/>
          <w:sz w:val="28"/>
          <w:szCs w:val="28"/>
        </w:rPr>
        <w:t>发</w:t>
      </w:r>
      <w:r>
        <w:rPr>
          <w:rFonts w:eastAsia="黑体"/>
          <w:sz w:val="28"/>
          <w:szCs w:val="28"/>
        </w:rPr>
        <w:t xml:space="preserve"> </w:t>
      </w:r>
      <w:r>
        <w:rPr>
          <w:rFonts w:eastAsia="黑体"/>
          <w:sz w:val="28"/>
          <w:szCs w:val="28"/>
        </w:rPr>
        <w:t>布</w:t>
      </w:r>
    </w:p>
    <w:p w:rsidR="00CF37BF" w:rsidRPr="006218EC" w:rsidRDefault="00CF37BF" w:rsidP="006218EC">
      <w:pPr>
        <w:pStyle w:val="10"/>
        <w:spacing w:beforeLines="50" w:before="156" w:afterLines="50" w:after="156" w:line="400" w:lineRule="atLeast"/>
        <w:ind w:left="357" w:firstLineChars="0" w:firstLine="0"/>
        <w:contextualSpacing/>
        <w:jc w:val="center"/>
        <w:rPr>
          <w:rFonts w:eastAsia="黑体"/>
          <w:sz w:val="28"/>
          <w:szCs w:val="28"/>
        </w:rPr>
      </w:pPr>
    </w:p>
    <w:p w:rsidR="00CF37BF" w:rsidRDefault="00562902">
      <w:pPr>
        <w:pStyle w:val="10"/>
        <w:spacing w:beforeLines="50" w:before="156" w:afterLines="50" w:after="156" w:line="400" w:lineRule="atLeast"/>
        <w:ind w:left="357" w:firstLineChars="0" w:firstLine="0"/>
        <w:contextualSpacing/>
        <w:jc w:val="center"/>
        <w:rPr>
          <w:rFonts w:eastAsia="黑体"/>
          <w:sz w:val="32"/>
          <w:szCs w:val="32"/>
        </w:rPr>
      </w:pPr>
      <w:r>
        <w:rPr>
          <w:rFonts w:eastAsia="黑体"/>
          <w:sz w:val="32"/>
          <w:szCs w:val="32"/>
        </w:rPr>
        <w:t>前</w:t>
      </w:r>
      <w:r>
        <w:rPr>
          <w:rFonts w:eastAsia="黑体"/>
          <w:sz w:val="32"/>
          <w:szCs w:val="32"/>
        </w:rPr>
        <w:t xml:space="preserve">    </w:t>
      </w:r>
      <w:r>
        <w:rPr>
          <w:rFonts w:eastAsia="黑体"/>
          <w:sz w:val="32"/>
          <w:szCs w:val="32"/>
        </w:rPr>
        <w:t>言</w:t>
      </w:r>
    </w:p>
    <w:p w:rsidR="00CF37BF" w:rsidRDefault="00CF37BF">
      <w:pPr>
        <w:pStyle w:val="10"/>
        <w:spacing w:beforeLines="50" w:before="156" w:afterLines="50" w:after="156" w:line="400" w:lineRule="atLeast"/>
        <w:ind w:left="357" w:firstLineChars="0" w:firstLine="0"/>
        <w:contextualSpacing/>
        <w:jc w:val="center"/>
        <w:rPr>
          <w:rFonts w:eastAsia="黑体"/>
          <w:sz w:val="32"/>
          <w:szCs w:val="32"/>
        </w:rPr>
      </w:pPr>
    </w:p>
    <w:p w:rsidR="00CF37BF" w:rsidRDefault="00562902">
      <w:pPr>
        <w:pStyle w:val="10"/>
        <w:spacing w:beforeLines="50" w:before="156" w:afterLines="50" w:after="156" w:line="400" w:lineRule="atLeast"/>
        <w:contextualSpacing/>
        <w:jc w:val="left"/>
      </w:pPr>
      <w:r>
        <w:t>本规程由中国绿色食品发展中心提出并归口。</w:t>
      </w:r>
    </w:p>
    <w:p w:rsidR="00CF37BF" w:rsidRDefault="00562902">
      <w:pPr>
        <w:pStyle w:val="10"/>
        <w:spacing w:beforeLines="50" w:before="156" w:afterLines="50" w:after="156" w:line="400" w:lineRule="atLeast"/>
        <w:contextualSpacing/>
        <w:jc w:val="left"/>
      </w:pPr>
      <w:r>
        <w:t>本规程起草单位：黑龙江省绿色食品发展中心、东北农业大学、黑龙江省农业技术推广站、</w:t>
      </w:r>
      <w:r w:rsidR="00CC6C99">
        <w:rPr>
          <w:rFonts w:hint="eastAsia"/>
        </w:rPr>
        <w:t>中国</w:t>
      </w:r>
      <w:r w:rsidR="00CC6C99">
        <w:t>绿色</w:t>
      </w:r>
      <w:r w:rsidR="00CC6C99">
        <w:rPr>
          <w:rFonts w:hint="eastAsia"/>
        </w:rPr>
        <w:t>食品</w:t>
      </w:r>
      <w:r w:rsidR="00CC6C99">
        <w:t>发展中心、</w:t>
      </w:r>
      <w:r>
        <w:t>辽宁省农产品质量安全中心、吉林省绿色食品办公室</w:t>
      </w:r>
      <w:r>
        <w:rPr>
          <w:rFonts w:hint="eastAsia"/>
        </w:rPr>
        <w:t>。</w:t>
      </w:r>
      <w:r>
        <w:t xml:space="preserve"> </w:t>
      </w:r>
    </w:p>
    <w:p w:rsidR="001A1E35" w:rsidRDefault="00562902">
      <w:pPr>
        <w:pStyle w:val="10"/>
        <w:spacing w:beforeLines="50" w:before="156" w:afterLines="50" w:after="156" w:line="400" w:lineRule="atLeast"/>
        <w:contextualSpacing/>
        <w:jc w:val="left"/>
        <w:sectPr w:rsidR="001A1E35">
          <w:pgSz w:w="11906" w:h="16838"/>
          <w:pgMar w:top="1440" w:right="1797" w:bottom="1440" w:left="1797" w:header="851" w:footer="992" w:gutter="0"/>
          <w:cols w:space="720"/>
          <w:docGrid w:type="lines" w:linePitch="312"/>
        </w:sectPr>
      </w:pPr>
      <w:r>
        <w:t>本规程主要起草人：张晓红、刘海军、罗淳钰、陈雷、卓超、刘凤娟、任红立、崔佳欣、陶玥昕、孙世德、叶青雷、刘翠翠、宋亚楠、林存学、</w:t>
      </w:r>
      <w:r w:rsidR="00CC6C99">
        <w:rPr>
          <w:rFonts w:hint="eastAsia"/>
        </w:rPr>
        <w:t>张宪</w:t>
      </w:r>
      <w:r w:rsidR="00CC6C99">
        <w:t>、</w:t>
      </w:r>
      <w:r>
        <w:t>冯连第、相洋</w:t>
      </w:r>
      <w:r>
        <w:rPr>
          <w:rFonts w:hint="eastAsia"/>
        </w:rPr>
        <w:t>。</w:t>
      </w:r>
    </w:p>
    <w:p w:rsidR="00CF37BF" w:rsidRDefault="00562902">
      <w:pPr>
        <w:widowControl w:val="0"/>
        <w:tabs>
          <w:tab w:val="left" w:pos="1842"/>
        </w:tabs>
        <w:jc w:val="center"/>
        <w:rPr>
          <w:rFonts w:eastAsia="黑体"/>
          <w:kern w:val="2"/>
          <w:sz w:val="32"/>
          <w:szCs w:val="32"/>
        </w:rPr>
      </w:pPr>
      <w:r>
        <w:rPr>
          <w:rFonts w:eastAsia="黑体"/>
          <w:kern w:val="2"/>
          <w:sz w:val="32"/>
          <w:szCs w:val="32"/>
        </w:rPr>
        <w:lastRenderedPageBreak/>
        <w:t>东北地区</w:t>
      </w:r>
    </w:p>
    <w:p w:rsidR="00CF37BF" w:rsidRDefault="00562902">
      <w:pPr>
        <w:widowControl w:val="0"/>
        <w:tabs>
          <w:tab w:val="left" w:pos="1842"/>
        </w:tabs>
        <w:jc w:val="center"/>
        <w:rPr>
          <w:rFonts w:eastAsia="黑体"/>
          <w:kern w:val="2"/>
          <w:sz w:val="32"/>
          <w:szCs w:val="32"/>
        </w:rPr>
      </w:pPr>
      <w:r>
        <w:rPr>
          <w:rFonts w:eastAsia="黑体"/>
          <w:kern w:val="2"/>
          <w:sz w:val="32"/>
          <w:szCs w:val="32"/>
        </w:rPr>
        <w:t>绿色食品李子生产操作规程</w:t>
      </w:r>
    </w:p>
    <w:p w:rsidR="00CF37BF" w:rsidRDefault="00CF37BF">
      <w:pPr>
        <w:spacing w:line="360" w:lineRule="auto"/>
        <w:rPr>
          <w:rFonts w:eastAsia="仿宋_GB2312"/>
          <w:bCs/>
        </w:rPr>
      </w:pPr>
    </w:p>
    <w:p w:rsidR="00CF37BF" w:rsidRPr="000218B1" w:rsidRDefault="00562902" w:rsidP="000218B1">
      <w:pPr>
        <w:pStyle w:val="1"/>
      </w:pPr>
      <w:r>
        <w:rPr>
          <w:rFonts w:hint="eastAsia"/>
        </w:rPr>
        <w:t>1  范围</w:t>
      </w:r>
    </w:p>
    <w:p w:rsidR="00CF37BF" w:rsidRDefault="00562902">
      <w:pPr>
        <w:ind w:firstLineChars="200" w:firstLine="420"/>
        <w:rPr>
          <w:kern w:val="2"/>
          <w:sz w:val="21"/>
          <w:szCs w:val="21"/>
        </w:rPr>
      </w:pPr>
      <w:r>
        <w:rPr>
          <w:kern w:val="2"/>
          <w:sz w:val="21"/>
          <w:szCs w:val="21"/>
        </w:rPr>
        <w:t>本规程规定了绿色食品李子生产的建园、品种选择、土壤管理、肥水管理、病虫害防治、整形修剪、花果管理、果实采收、生产废弃物处理、储藏与包装和生产档案管理。</w:t>
      </w:r>
    </w:p>
    <w:p w:rsidR="00CF37BF" w:rsidRDefault="00562902">
      <w:pPr>
        <w:ind w:firstLineChars="200" w:firstLine="420"/>
        <w:rPr>
          <w:kern w:val="2"/>
          <w:sz w:val="21"/>
          <w:szCs w:val="21"/>
        </w:rPr>
      </w:pPr>
      <w:r>
        <w:rPr>
          <w:kern w:val="2"/>
          <w:sz w:val="21"/>
          <w:szCs w:val="21"/>
        </w:rPr>
        <w:t>本规程适用于辽宁、吉林和黑龙江的绿色食品李子的生产。</w:t>
      </w:r>
    </w:p>
    <w:p w:rsidR="00CF37BF" w:rsidRDefault="00562902" w:rsidP="000218B1">
      <w:pPr>
        <w:pStyle w:val="1"/>
      </w:pPr>
      <w:r>
        <w:rPr>
          <w:rFonts w:hint="eastAsia"/>
        </w:rPr>
        <w:t>2  规范性引用文件</w:t>
      </w:r>
    </w:p>
    <w:p w:rsidR="00CF37BF" w:rsidRDefault="00895B1A">
      <w:pPr>
        <w:pStyle w:val="10"/>
        <w:contextualSpacing/>
      </w:pPr>
      <w:r>
        <w:rPr>
          <w:rFonts w:eastAsiaTheme="minorEastAsia" w:cstheme="minorEastAsia" w:hint="eastAsia"/>
        </w:rPr>
        <w:t>下列文件中的内容通过文中的规范性引用而构成本</w:t>
      </w:r>
      <w:r w:rsidR="00426D06">
        <w:t>规程</w:t>
      </w:r>
      <w:r>
        <w:rPr>
          <w:rFonts w:eastAsiaTheme="minorEastAsia" w:cstheme="minorEastAsia" w:hint="eastAsia"/>
        </w:rPr>
        <w:t>必不可少的条款。其中，注日期的引用文件，仅该日期对应的版本适用于本</w:t>
      </w:r>
      <w:r w:rsidR="00426D06">
        <w:t>规程</w:t>
      </w:r>
      <w:r>
        <w:rPr>
          <w:rFonts w:eastAsiaTheme="minorEastAsia" w:cstheme="minorEastAsia" w:hint="eastAsia"/>
        </w:rPr>
        <w:t>；不注日期的引用文件，其最新版本（包括所有的修改单）适用于本</w:t>
      </w:r>
      <w:r w:rsidR="00426D06">
        <w:t>规程</w:t>
      </w:r>
      <w:r>
        <w:rPr>
          <w:rFonts w:eastAsiaTheme="minorEastAsia" w:cstheme="minorEastAsia" w:hint="eastAsia"/>
        </w:rPr>
        <w:t>。</w:t>
      </w:r>
    </w:p>
    <w:p w:rsidR="00356968" w:rsidRDefault="00356968">
      <w:pPr>
        <w:ind w:firstLineChars="200" w:firstLine="420"/>
        <w:rPr>
          <w:kern w:val="2"/>
          <w:sz w:val="21"/>
          <w:szCs w:val="21"/>
        </w:rPr>
      </w:pPr>
      <w:r>
        <w:rPr>
          <w:kern w:val="2"/>
          <w:sz w:val="21"/>
          <w:szCs w:val="21"/>
        </w:rPr>
        <w:t xml:space="preserve">LY/T 2826  </w:t>
      </w:r>
      <w:r>
        <w:rPr>
          <w:kern w:val="2"/>
          <w:sz w:val="21"/>
          <w:szCs w:val="21"/>
        </w:rPr>
        <w:t>苗木质量</w:t>
      </w:r>
    </w:p>
    <w:p w:rsidR="00CF37BF" w:rsidRDefault="00562902">
      <w:pPr>
        <w:ind w:firstLineChars="200" w:firstLine="420"/>
        <w:rPr>
          <w:kern w:val="2"/>
          <w:sz w:val="21"/>
          <w:szCs w:val="21"/>
        </w:rPr>
      </w:pPr>
      <w:r>
        <w:rPr>
          <w:kern w:val="2"/>
          <w:sz w:val="21"/>
          <w:szCs w:val="21"/>
        </w:rPr>
        <w:t xml:space="preserve">NY/T 391  </w:t>
      </w:r>
      <w:r>
        <w:rPr>
          <w:kern w:val="2"/>
          <w:sz w:val="21"/>
          <w:szCs w:val="21"/>
        </w:rPr>
        <w:t>绿色食品</w:t>
      </w:r>
      <w:r>
        <w:rPr>
          <w:kern w:val="2"/>
          <w:sz w:val="21"/>
          <w:szCs w:val="21"/>
        </w:rPr>
        <w:t xml:space="preserve">  </w:t>
      </w:r>
      <w:r>
        <w:rPr>
          <w:kern w:val="2"/>
          <w:sz w:val="21"/>
          <w:szCs w:val="21"/>
        </w:rPr>
        <w:t>产地质量环境</w:t>
      </w:r>
    </w:p>
    <w:p w:rsidR="00CF37BF" w:rsidRDefault="00562902">
      <w:pPr>
        <w:ind w:firstLineChars="200" w:firstLine="420"/>
        <w:rPr>
          <w:kern w:val="2"/>
          <w:sz w:val="21"/>
          <w:szCs w:val="21"/>
        </w:rPr>
      </w:pPr>
      <w:r>
        <w:rPr>
          <w:kern w:val="2"/>
          <w:sz w:val="21"/>
          <w:szCs w:val="21"/>
        </w:rPr>
        <w:t xml:space="preserve">NY/T 393  </w:t>
      </w:r>
      <w:r>
        <w:rPr>
          <w:kern w:val="2"/>
          <w:sz w:val="21"/>
          <w:szCs w:val="21"/>
        </w:rPr>
        <w:t>绿色食品</w:t>
      </w:r>
      <w:r>
        <w:rPr>
          <w:kern w:val="2"/>
          <w:sz w:val="21"/>
          <w:szCs w:val="21"/>
        </w:rPr>
        <w:t xml:space="preserve">  </w:t>
      </w:r>
      <w:r>
        <w:rPr>
          <w:kern w:val="2"/>
          <w:sz w:val="21"/>
          <w:szCs w:val="21"/>
        </w:rPr>
        <w:t>农药使用准则</w:t>
      </w:r>
    </w:p>
    <w:p w:rsidR="00CF37BF" w:rsidRDefault="00562902">
      <w:pPr>
        <w:ind w:firstLineChars="200" w:firstLine="420"/>
        <w:rPr>
          <w:kern w:val="2"/>
          <w:sz w:val="21"/>
          <w:szCs w:val="21"/>
        </w:rPr>
      </w:pPr>
      <w:r>
        <w:rPr>
          <w:kern w:val="2"/>
          <w:sz w:val="21"/>
          <w:szCs w:val="21"/>
        </w:rPr>
        <w:t xml:space="preserve">NY/T 394  </w:t>
      </w:r>
      <w:r>
        <w:rPr>
          <w:kern w:val="2"/>
          <w:sz w:val="21"/>
          <w:szCs w:val="21"/>
        </w:rPr>
        <w:t>绿色食品</w:t>
      </w:r>
      <w:r>
        <w:rPr>
          <w:kern w:val="2"/>
          <w:sz w:val="21"/>
          <w:szCs w:val="21"/>
        </w:rPr>
        <w:t xml:space="preserve">  </w:t>
      </w:r>
      <w:r>
        <w:rPr>
          <w:kern w:val="2"/>
          <w:sz w:val="21"/>
          <w:szCs w:val="21"/>
        </w:rPr>
        <w:t>肥料使用准则</w:t>
      </w:r>
    </w:p>
    <w:p w:rsidR="00CF37BF" w:rsidRDefault="00562902">
      <w:pPr>
        <w:ind w:firstLineChars="200" w:firstLine="420"/>
        <w:rPr>
          <w:kern w:val="2"/>
          <w:sz w:val="21"/>
          <w:szCs w:val="21"/>
        </w:rPr>
      </w:pPr>
      <w:r>
        <w:rPr>
          <w:kern w:val="2"/>
          <w:sz w:val="21"/>
          <w:szCs w:val="21"/>
        </w:rPr>
        <w:t xml:space="preserve">NY/T 658  </w:t>
      </w:r>
      <w:r>
        <w:rPr>
          <w:kern w:val="2"/>
          <w:sz w:val="21"/>
          <w:szCs w:val="21"/>
        </w:rPr>
        <w:t>绿色食品</w:t>
      </w:r>
      <w:r>
        <w:rPr>
          <w:kern w:val="2"/>
          <w:sz w:val="21"/>
          <w:szCs w:val="21"/>
        </w:rPr>
        <w:t xml:space="preserve">  </w:t>
      </w:r>
      <w:r>
        <w:rPr>
          <w:kern w:val="2"/>
          <w:sz w:val="21"/>
          <w:szCs w:val="21"/>
        </w:rPr>
        <w:t>包装通用准则</w:t>
      </w:r>
    </w:p>
    <w:p w:rsidR="00CF37BF" w:rsidRDefault="00562902">
      <w:pPr>
        <w:ind w:firstLineChars="200" w:firstLine="420"/>
        <w:rPr>
          <w:kern w:val="2"/>
          <w:sz w:val="21"/>
          <w:szCs w:val="21"/>
        </w:rPr>
      </w:pPr>
      <w:bookmarkStart w:id="1" w:name="_Toc10979"/>
      <w:bookmarkStart w:id="2" w:name="_Toc9469"/>
      <w:bookmarkStart w:id="3" w:name="_Toc3870"/>
      <w:bookmarkStart w:id="4" w:name="_Toc9948"/>
      <w:bookmarkStart w:id="5" w:name="_Toc21022"/>
      <w:bookmarkStart w:id="6" w:name="_Toc5427"/>
      <w:bookmarkStart w:id="7" w:name="_Toc29974"/>
      <w:bookmarkStart w:id="8" w:name="_Toc30057"/>
      <w:bookmarkStart w:id="9" w:name="_Toc26022"/>
      <w:bookmarkStart w:id="10" w:name="_Toc28078"/>
      <w:bookmarkStart w:id="11" w:name="_Toc27726"/>
      <w:bookmarkStart w:id="12" w:name="_Toc25597"/>
      <w:bookmarkStart w:id="13" w:name="_Toc27728"/>
      <w:bookmarkStart w:id="14" w:name="_Toc9227"/>
      <w:bookmarkEnd w:id="1"/>
      <w:bookmarkEnd w:id="2"/>
      <w:bookmarkEnd w:id="3"/>
      <w:bookmarkEnd w:id="4"/>
      <w:bookmarkEnd w:id="5"/>
      <w:bookmarkEnd w:id="6"/>
      <w:bookmarkEnd w:id="7"/>
      <w:bookmarkEnd w:id="8"/>
      <w:bookmarkEnd w:id="9"/>
      <w:bookmarkEnd w:id="10"/>
      <w:bookmarkEnd w:id="11"/>
      <w:bookmarkEnd w:id="12"/>
      <w:bookmarkEnd w:id="13"/>
      <w:r>
        <w:rPr>
          <w:kern w:val="2"/>
          <w:sz w:val="21"/>
          <w:szCs w:val="21"/>
        </w:rPr>
        <w:t xml:space="preserve">NY/T 1056  </w:t>
      </w:r>
      <w:r>
        <w:rPr>
          <w:kern w:val="2"/>
          <w:sz w:val="21"/>
          <w:szCs w:val="21"/>
        </w:rPr>
        <w:t>绿色食品</w:t>
      </w:r>
      <w:r>
        <w:rPr>
          <w:kern w:val="2"/>
          <w:sz w:val="21"/>
          <w:szCs w:val="21"/>
        </w:rPr>
        <w:t xml:space="preserve">  </w:t>
      </w:r>
      <w:r>
        <w:rPr>
          <w:kern w:val="2"/>
          <w:sz w:val="21"/>
          <w:szCs w:val="21"/>
        </w:rPr>
        <w:t>储藏运输准则</w:t>
      </w:r>
      <w:bookmarkEnd w:id="14"/>
    </w:p>
    <w:p w:rsidR="00CF37BF" w:rsidRDefault="00562902" w:rsidP="000218B1">
      <w:pPr>
        <w:pStyle w:val="1"/>
      </w:pPr>
      <w:r>
        <w:rPr>
          <w:rFonts w:hint="eastAsia"/>
        </w:rPr>
        <w:t>3  建园</w:t>
      </w:r>
    </w:p>
    <w:p w:rsidR="00CF37BF" w:rsidRDefault="00562902" w:rsidP="000218B1">
      <w:pPr>
        <w:pStyle w:val="2"/>
      </w:pPr>
      <w:r>
        <w:rPr>
          <w:rFonts w:hint="eastAsia"/>
        </w:rPr>
        <w:t>3.1 园址选择</w:t>
      </w:r>
    </w:p>
    <w:p w:rsidR="00CF37BF" w:rsidRDefault="00562902">
      <w:pPr>
        <w:ind w:firstLineChars="200" w:firstLine="420"/>
      </w:pPr>
      <w:r>
        <w:rPr>
          <w:kern w:val="2"/>
          <w:sz w:val="21"/>
          <w:szCs w:val="21"/>
        </w:rPr>
        <w:t>选择远离污染源、生态环境优良、背风向阳、排灌方便、土层深厚、土质疏松肥沃、水源充足的地块，避免低洼地块或山地背阴坡建园。环境质量应符合</w:t>
      </w:r>
      <w:r>
        <w:rPr>
          <w:kern w:val="2"/>
          <w:sz w:val="21"/>
          <w:szCs w:val="21"/>
        </w:rPr>
        <w:t>NY/T 391</w:t>
      </w:r>
      <w:r>
        <w:rPr>
          <w:kern w:val="2"/>
          <w:sz w:val="21"/>
          <w:szCs w:val="21"/>
        </w:rPr>
        <w:t>的规定。</w:t>
      </w:r>
    </w:p>
    <w:p w:rsidR="00CF37BF" w:rsidRDefault="00562902" w:rsidP="000218B1">
      <w:pPr>
        <w:pStyle w:val="2"/>
      </w:pPr>
      <w:r>
        <w:rPr>
          <w:rFonts w:hint="eastAsia"/>
        </w:rPr>
        <w:t>3.2 园地准备</w:t>
      </w:r>
    </w:p>
    <w:p w:rsidR="00CF37BF" w:rsidRDefault="00562902">
      <w:pPr>
        <w:pStyle w:val="10"/>
        <w:contextualSpacing/>
      </w:pPr>
      <w:r>
        <w:t>宜选择地势较高且平坦地块，坡度</w:t>
      </w:r>
      <w:r>
        <w:t>25°</w:t>
      </w:r>
      <w:r>
        <w:rPr>
          <w:rFonts w:hint="eastAsia"/>
        </w:rPr>
        <w:t>以下</w:t>
      </w:r>
      <w:r>
        <w:t>，建园前园地经深翻熟化平整，添加腐熟有机肥增加土壤肥力，调节土壤</w:t>
      </w:r>
      <w:r>
        <w:t>pH</w:t>
      </w:r>
      <w:r>
        <w:t>值</w:t>
      </w:r>
      <w:r>
        <w:t>5.0</w:t>
      </w:r>
      <w:r>
        <w:t>～</w:t>
      </w:r>
      <w:r>
        <w:t>7.0</w:t>
      </w:r>
      <w:r>
        <w:t>；如果园地块坡度较大，可修筑梯田。园地应根据实际面积、地形和特殊气候，合理规划道路、防风林、排水沟、作业房等配套设施。</w:t>
      </w:r>
    </w:p>
    <w:p w:rsidR="00CF37BF" w:rsidRDefault="00562902" w:rsidP="000218B1">
      <w:pPr>
        <w:pStyle w:val="1"/>
      </w:pPr>
      <w:r>
        <w:rPr>
          <w:rFonts w:hint="eastAsia"/>
        </w:rPr>
        <w:t>4  品种选择</w:t>
      </w:r>
    </w:p>
    <w:p w:rsidR="00CF37BF" w:rsidRDefault="00562902" w:rsidP="000218B1">
      <w:pPr>
        <w:pStyle w:val="2"/>
      </w:pPr>
      <w:r>
        <w:rPr>
          <w:rFonts w:hint="eastAsia"/>
        </w:rPr>
        <w:t>4.1 选择原则</w:t>
      </w:r>
    </w:p>
    <w:p w:rsidR="00CF37BF" w:rsidRDefault="00562902">
      <w:pPr>
        <w:pStyle w:val="10"/>
        <w:tabs>
          <w:tab w:val="left" w:pos="142"/>
        </w:tabs>
        <w:contextualSpacing/>
      </w:pPr>
      <w:r>
        <w:t>优先选择适合东北地区生长的耐寒性、适应性、抗逆性强的</w:t>
      </w:r>
      <w:r>
        <w:rPr>
          <w:rFonts w:hint="eastAsia"/>
        </w:rPr>
        <w:t>优良</w:t>
      </w:r>
      <w:r>
        <w:t>品种。</w:t>
      </w:r>
    </w:p>
    <w:p w:rsidR="00CF37BF" w:rsidRDefault="00562902" w:rsidP="000218B1">
      <w:pPr>
        <w:pStyle w:val="2"/>
      </w:pPr>
      <w:r>
        <w:rPr>
          <w:rFonts w:hint="eastAsia"/>
        </w:rPr>
        <w:t>4.2 适宜品种</w:t>
      </w:r>
    </w:p>
    <w:p w:rsidR="00CF37BF" w:rsidRDefault="00562902">
      <w:pPr>
        <w:spacing w:beforeLines="50" w:before="163" w:afterLines="50" w:after="163"/>
        <w:rPr>
          <w:rFonts w:ascii="黑体" w:eastAsia="黑体" w:hAnsi="黑体" w:cs="黑体"/>
          <w:sz w:val="21"/>
          <w:szCs w:val="21"/>
        </w:rPr>
      </w:pPr>
      <w:r>
        <w:rPr>
          <w:rFonts w:ascii="黑体" w:eastAsia="黑体" w:hAnsi="黑体" w:cs="黑体" w:hint="eastAsia"/>
          <w:sz w:val="21"/>
          <w:szCs w:val="21"/>
        </w:rPr>
        <w:t xml:space="preserve">    </w:t>
      </w:r>
      <w:r>
        <w:rPr>
          <w:rFonts w:asciiTheme="minorEastAsia" w:eastAsiaTheme="minorEastAsia" w:hAnsiTheme="minorEastAsia" w:cstheme="minorEastAsia" w:hint="eastAsia"/>
          <w:sz w:val="21"/>
          <w:szCs w:val="21"/>
        </w:rPr>
        <w:t>可选择吉胜李、矮甜李、牡红甜李、龙园秋李、早桃李、长李15等抗寒优良品种，早、中、晚品种搭配为宜。</w:t>
      </w:r>
    </w:p>
    <w:p w:rsidR="00CF37BF" w:rsidRDefault="00562902" w:rsidP="000218B1">
      <w:pPr>
        <w:pStyle w:val="2"/>
      </w:pPr>
      <w:r>
        <w:rPr>
          <w:rFonts w:hint="eastAsia"/>
        </w:rPr>
        <w:t>4.3 苗木标准</w:t>
      </w:r>
    </w:p>
    <w:p w:rsidR="00CF37BF" w:rsidRDefault="00562902">
      <w:pPr>
        <w:pStyle w:val="a9"/>
        <w:ind w:firstLine="420"/>
        <w:contextualSpacing/>
        <w:jc w:val="left"/>
        <w:rPr>
          <w:rFonts w:ascii="Times New Roman"/>
        </w:rPr>
      </w:pPr>
      <w:r>
        <w:rPr>
          <w:rFonts w:ascii="Times New Roman"/>
        </w:rPr>
        <w:t>选择品种纯正、无病虫害、基砧为山李子或毛樱桃且根系完整的苗木。苗木质量应符合</w:t>
      </w:r>
      <w:r>
        <w:rPr>
          <w:rFonts w:ascii="Times New Roman"/>
        </w:rPr>
        <w:t xml:space="preserve"> LY/ T 2826 </w:t>
      </w:r>
      <w:r>
        <w:rPr>
          <w:rFonts w:ascii="Times New Roman"/>
        </w:rPr>
        <w:t>的规定。</w:t>
      </w:r>
    </w:p>
    <w:p w:rsidR="00CF37BF" w:rsidRDefault="00562902" w:rsidP="000218B1">
      <w:pPr>
        <w:pStyle w:val="2"/>
      </w:pPr>
      <w:r>
        <w:rPr>
          <w:rFonts w:hint="eastAsia"/>
        </w:rPr>
        <w:t>4.4 栽植</w:t>
      </w:r>
    </w:p>
    <w:p w:rsidR="00CF37BF" w:rsidRDefault="00562902">
      <w:pPr>
        <w:pStyle w:val="10"/>
        <w:numPr>
          <w:ilvl w:val="255"/>
          <w:numId w:val="0"/>
        </w:numPr>
        <w:tabs>
          <w:tab w:val="left" w:pos="142"/>
        </w:tabs>
        <w:ind w:firstLineChars="200" w:firstLine="420"/>
        <w:contextualSpacing/>
        <w:rPr>
          <w:color w:val="00B0F0"/>
        </w:rPr>
      </w:pPr>
      <w:r>
        <w:t>宜采用春季栽植。提前挖定植穴直径</w:t>
      </w:r>
      <w:r>
        <w:t>40cm</w:t>
      </w:r>
      <w:r>
        <w:rPr>
          <w:rFonts w:hint="eastAsia"/>
        </w:rPr>
        <w:t>～</w:t>
      </w:r>
      <w:r>
        <w:t>50cm</w:t>
      </w:r>
      <w:r>
        <w:t>、深度</w:t>
      </w:r>
      <w:r>
        <w:t>50cm</w:t>
      </w:r>
      <w:r>
        <w:rPr>
          <w:rFonts w:hint="eastAsia"/>
        </w:rPr>
        <w:t>～</w:t>
      </w:r>
      <w:r>
        <w:t>60cm</w:t>
      </w:r>
      <w:r>
        <w:t>，表土与底土分</w:t>
      </w:r>
      <w:r>
        <w:lastRenderedPageBreak/>
        <w:t>放，底部施入腐熟有机肥</w:t>
      </w:r>
      <w:r>
        <w:t>3kg</w:t>
      </w:r>
      <w:r>
        <w:rPr>
          <w:rFonts w:hint="eastAsia"/>
        </w:rPr>
        <w:t>～</w:t>
      </w:r>
      <w:r>
        <w:t>5kg</w:t>
      </w:r>
      <w:r>
        <w:t>，与表土充分拌匀后回填，栽植后浇水封埯。栽培密度应根据每种树形合理确定适宜密度，纺锤形密植树形，株行距为</w:t>
      </w:r>
      <w:r>
        <w:t>1.5m</w:t>
      </w:r>
      <w:r>
        <w:t>～</w:t>
      </w:r>
      <w:r>
        <w:t>2.0m×4.0m</w:t>
      </w:r>
      <w:r>
        <w:t>；杯状形树形，株行距为</w:t>
      </w:r>
      <w:r>
        <w:t>3.0m×4.0m</w:t>
      </w:r>
      <w:r>
        <w:t>为宜。</w:t>
      </w:r>
    </w:p>
    <w:p w:rsidR="00CF37BF" w:rsidRDefault="00562902" w:rsidP="000218B1">
      <w:pPr>
        <w:pStyle w:val="2"/>
      </w:pPr>
      <w:r>
        <w:rPr>
          <w:rFonts w:hint="eastAsia"/>
        </w:rPr>
        <w:t>4.5 授粉树配置</w:t>
      </w:r>
    </w:p>
    <w:p w:rsidR="00CF37BF" w:rsidRDefault="00562902">
      <w:pPr>
        <w:pStyle w:val="a9"/>
        <w:ind w:firstLine="420"/>
        <w:rPr>
          <w:rFonts w:ascii="Times New Roman"/>
          <w:kern w:val="2"/>
          <w:szCs w:val="21"/>
        </w:rPr>
      </w:pPr>
      <w:r>
        <w:rPr>
          <w:rFonts w:ascii="Times New Roman"/>
        </w:rPr>
        <w:t>授粉树配置，主栽品种：授粉品种</w:t>
      </w:r>
      <w:r>
        <w:rPr>
          <w:rFonts w:ascii="Times New Roman"/>
        </w:rPr>
        <w:t>8</w:t>
      </w:r>
      <w:r>
        <w:rPr>
          <w:rFonts w:ascii="Times New Roman"/>
        </w:rPr>
        <w:t>～</w:t>
      </w:r>
      <w:r>
        <w:rPr>
          <w:rFonts w:ascii="Times New Roman"/>
        </w:rPr>
        <w:t>10∶1</w:t>
      </w:r>
      <w:r>
        <w:rPr>
          <w:rFonts w:ascii="Times New Roman"/>
        </w:rPr>
        <w:t>为宜。</w:t>
      </w:r>
    </w:p>
    <w:p w:rsidR="00CF37BF" w:rsidRDefault="00562902" w:rsidP="000218B1">
      <w:pPr>
        <w:pStyle w:val="1"/>
      </w:pPr>
      <w:r>
        <w:rPr>
          <w:rFonts w:hint="eastAsia"/>
        </w:rPr>
        <w:t>5  土壤管理</w:t>
      </w:r>
    </w:p>
    <w:p w:rsidR="00CF37BF" w:rsidRDefault="00562902" w:rsidP="000218B1">
      <w:pPr>
        <w:pStyle w:val="2"/>
      </w:pPr>
      <w:r>
        <w:rPr>
          <w:rFonts w:hint="eastAsia"/>
        </w:rPr>
        <w:t>5.1 深翻改土</w:t>
      </w:r>
    </w:p>
    <w:p w:rsidR="00CF37BF" w:rsidRDefault="00562902">
      <w:pPr>
        <w:pStyle w:val="10"/>
        <w:numPr>
          <w:ilvl w:val="255"/>
          <w:numId w:val="0"/>
        </w:numPr>
        <w:tabs>
          <w:tab w:val="left" w:pos="142"/>
        </w:tabs>
        <w:spacing w:before="156" w:after="156"/>
        <w:ind w:firstLineChars="200" w:firstLine="420"/>
        <w:contextualSpacing/>
      </w:pPr>
      <w:r>
        <w:t>每年秋季对土壤进行深翻改良，深度</w:t>
      </w:r>
      <w:r>
        <w:t>40cm</w:t>
      </w:r>
      <w:r>
        <w:t>～</w:t>
      </w:r>
      <w:r>
        <w:t>60cm</w:t>
      </w:r>
      <w:r>
        <w:t>。</w:t>
      </w:r>
    </w:p>
    <w:p w:rsidR="00CF37BF" w:rsidRDefault="00562902" w:rsidP="000218B1">
      <w:pPr>
        <w:pStyle w:val="2"/>
      </w:pPr>
      <w:r>
        <w:rPr>
          <w:rFonts w:hint="eastAsia"/>
        </w:rPr>
        <w:t>5.2 果园生草</w:t>
      </w:r>
    </w:p>
    <w:p w:rsidR="00CF37BF" w:rsidRDefault="00562902">
      <w:pPr>
        <w:ind w:firstLineChars="200" w:firstLine="420"/>
        <w:rPr>
          <w:kern w:val="2"/>
          <w:sz w:val="21"/>
          <w:szCs w:val="21"/>
        </w:rPr>
      </w:pPr>
      <w:r>
        <w:rPr>
          <w:kern w:val="2"/>
          <w:sz w:val="21"/>
          <w:szCs w:val="21"/>
        </w:rPr>
        <w:t>幼树期果园行间可间作豆科等矮科作物。成年果园可在行间间作三叶草、无芒雀麦、黑麦草、苜蓿等绿肥植物，每年刈割</w:t>
      </w:r>
      <w:r>
        <w:rPr>
          <w:kern w:val="2"/>
          <w:sz w:val="21"/>
          <w:szCs w:val="21"/>
        </w:rPr>
        <w:t>3</w:t>
      </w:r>
      <w:r>
        <w:rPr>
          <w:kern w:val="2"/>
          <w:sz w:val="21"/>
          <w:szCs w:val="21"/>
        </w:rPr>
        <w:t>次～</w:t>
      </w:r>
      <w:r>
        <w:rPr>
          <w:kern w:val="2"/>
          <w:sz w:val="21"/>
          <w:szCs w:val="21"/>
        </w:rPr>
        <w:t>4</w:t>
      </w:r>
      <w:r>
        <w:rPr>
          <w:kern w:val="2"/>
          <w:sz w:val="21"/>
          <w:szCs w:val="21"/>
        </w:rPr>
        <w:t>次。</w:t>
      </w:r>
    </w:p>
    <w:p w:rsidR="00CF37BF" w:rsidRDefault="00562902" w:rsidP="000218B1">
      <w:pPr>
        <w:pStyle w:val="1"/>
      </w:pPr>
      <w:r>
        <w:rPr>
          <w:rFonts w:hint="eastAsia"/>
        </w:rPr>
        <w:t>6  肥水管理</w:t>
      </w:r>
    </w:p>
    <w:p w:rsidR="00CF37BF" w:rsidRDefault="00562902" w:rsidP="000218B1">
      <w:pPr>
        <w:pStyle w:val="2"/>
      </w:pPr>
      <w:r>
        <w:rPr>
          <w:rFonts w:hint="eastAsia"/>
        </w:rPr>
        <w:t>6.1  水分管理</w:t>
      </w:r>
    </w:p>
    <w:p w:rsidR="00CF37BF" w:rsidRDefault="00562902" w:rsidP="000218B1">
      <w:pPr>
        <w:pStyle w:val="3"/>
      </w:pPr>
      <w:r>
        <w:rPr>
          <w:rFonts w:hint="eastAsia"/>
        </w:rPr>
        <w:t>6.1.1  灌水时期</w:t>
      </w:r>
    </w:p>
    <w:p w:rsidR="00CF37BF" w:rsidRDefault="00562902">
      <w:pPr>
        <w:adjustRightInd w:val="0"/>
        <w:snapToGrid w:val="0"/>
        <w:ind w:firstLineChars="200" w:firstLine="420"/>
        <w:rPr>
          <w:kern w:val="2"/>
          <w:sz w:val="21"/>
          <w:szCs w:val="21"/>
        </w:rPr>
      </w:pPr>
      <w:r>
        <w:rPr>
          <w:kern w:val="2"/>
          <w:sz w:val="21"/>
          <w:szCs w:val="21"/>
        </w:rPr>
        <w:t>在萌芽期、幼果期、果实膨大期、采收前及土壤封冻前应进行灌水，</w:t>
      </w:r>
      <w:r>
        <w:rPr>
          <w:sz w:val="21"/>
          <w:szCs w:val="21"/>
        </w:rPr>
        <w:t>生长季根据土壤情况适时灌水</w:t>
      </w:r>
      <w:r>
        <w:rPr>
          <w:kern w:val="2"/>
          <w:sz w:val="21"/>
          <w:szCs w:val="21"/>
        </w:rPr>
        <w:t>。采收前半月不灌水。</w:t>
      </w:r>
    </w:p>
    <w:p w:rsidR="00CF37BF" w:rsidRDefault="00562902" w:rsidP="000218B1">
      <w:pPr>
        <w:pStyle w:val="3"/>
        <w:rPr>
          <w:kern w:val="2"/>
        </w:rPr>
      </w:pPr>
      <w:r>
        <w:rPr>
          <w:rFonts w:hint="eastAsia"/>
        </w:rPr>
        <w:t>6.1.2  灌溉方法</w:t>
      </w:r>
    </w:p>
    <w:p w:rsidR="00CF37BF" w:rsidRDefault="00562902">
      <w:pPr>
        <w:adjustRightInd w:val="0"/>
        <w:snapToGrid w:val="0"/>
        <w:ind w:firstLineChars="200" w:firstLine="420"/>
        <w:rPr>
          <w:kern w:val="2"/>
          <w:sz w:val="21"/>
          <w:szCs w:val="21"/>
        </w:rPr>
      </w:pPr>
      <w:r>
        <w:rPr>
          <w:kern w:val="2"/>
          <w:sz w:val="21"/>
          <w:szCs w:val="21"/>
        </w:rPr>
        <w:t>宜采用水肥一体化滴灌和微喷灌方式。采收前灌水要适量，封冻前灌水要灌透。</w:t>
      </w:r>
    </w:p>
    <w:p w:rsidR="00CF37BF" w:rsidRDefault="00562902">
      <w:pPr>
        <w:spacing w:beforeLines="50" w:before="163" w:afterLines="50" w:after="163"/>
        <w:rPr>
          <w:rFonts w:ascii="黑体" w:eastAsia="黑体" w:hAnsi="黑体" w:cs="黑体"/>
          <w:sz w:val="21"/>
          <w:szCs w:val="21"/>
        </w:rPr>
      </w:pPr>
      <w:r>
        <w:rPr>
          <w:rFonts w:ascii="黑体" w:eastAsia="黑体" w:hAnsi="黑体" w:cs="黑体" w:hint="eastAsia"/>
          <w:sz w:val="21"/>
          <w:szCs w:val="21"/>
        </w:rPr>
        <w:t>6.1.3 排水</w:t>
      </w:r>
    </w:p>
    <w:p w:rsidR="00CF37BF" w:rsidRDefault="00562902">
      <w:pPr>
        <w:adjustRightInd w:val="0"/>
        <w:snapToGrid w:val="0"/>
        <w:ind w:firstLineChars="200" w:firstLine="420"/>
        <w:rPr>
          <w:kern w:val="2"/>
          <w:sz w:val="21"/>
          <w:szCs w:val="21"/>
        </w:rPr>
      </w:pPr>
      <w:r>
        <w:rPr>
          <w:kern w:val="2"/>
          <w:sz w:val="21"/>
          <w:szCs w:val="21"/>
        </w:rPr>
        <w:t>雨季及时排水。</w:t>
      </w:r>
    </w:p>
    <w:p w:rsidR="00CF37BF" w:rsidRDefault="00562902" w:rsidP="000218B1">
      <w:pPr>
        <w:pStyle w:val="2"/>
        <w:rPr>
          <w:kern w:val="2"/>
        </w:rPr>
      </w:pPr>
      <w:r>
        <w:rPr>
          <w:rFonts w:hint="eastAsia"/>
        </w:rPr>
        <w:t>6.2  肥料管理</w:t>
      </w:r>
    </w:p>
    <w:p w:rsidR="00CF37BF" w:rsidRDefault="00562902">
      <w:pPr>
        <w:rPr>
          <w:rFonts w:eastAsia="黑体"/>
          <w:color w:val="FF0000"/>
          <w:kern w:val="2"/>
          <w:sz w:val="21"/>
          <w:szCs w:val="21"/>
        </w:rPr>
      </w:pPr>
      <w:r>
        <w:rPr>
          <w:rFonts w:eastAsia="黑体"/>
          <w:kern w:val="2"/>
          <w:sz w:val="21"/>
          <w:szCs w:val="21"/>
        </w:rPr>
        <w:t xml:space="preserve">   </w:t>
      </w:r>
      <w:r>
        <w:rPr>
          <w:kern w:val="2"/>
          <w:sz w:val="21"/>
          <w:szCs w:val="21"/>
        </w:rPr>
        <w:t xml:space="preserve"> </w:t>
      </w:r>
      <w:r>
        <w:rPr>
          <w:kern w:val="2"/>
          <w:sz w:val="21"/>
          <w:szCs w:val="21"/>
        </w:rPr>
        <w:t>肥料施用以农家肥为主、化肥为辅，施用应符合</w:t>
      </w:r>
      <w:r>
        <w:rPr>
          <w:kern w:val="2"/>
          <w:sz w:val="21"/>
          <w:szCs w:val="21"/>
        </w:rPr>
        <w:t>NY/T 394</w:t>
      </w:r>
      <w:r>
        <w:rPr>
          <w:kern w:val="2"/>
          <w:sz w:val="21"/>
          <w:szCs w:val="21"/>
        </w:rPr>
        <w:t>的规定。</w:t>
      </w:r>
    </w:p>
    <w:p w:rsidR="00CF37BF" w:rsidRDefault="00562902" w:rsidP="000218B1">
      <w:pPr>
        <w:pStyle w:val="3"/>
        <w:rPr>
          <w:kern w:val="2"/>
        </w:rPr>
      </w:pPr>
      <w:r>
        <w:rPr>
          <w:rFonts w:hint="eastAsia"/>
        </w:rPr>
        <w:t>6.2.1  基肥</w:t>
      </w:r>
    </w:p>
    <w:p w:rsidR="00CF37BF" w:rsidRDefault="00562902">
      <w:pPr>
        <w:widowControl w:val="0"/>
        <w:adjustRightInd w:val="0"/>
        <w:snapToGrid w:val="0"/>
        <w:ind w:firstLineChars="200" w:firstLine="420"/>
        <w:jc w:val="both"/>
        <w:rPr>
          <w:color w:val="FF0000"/>
          <w:kern w:val="2"/>
          <w:sz w:val="21"/>
          <w:szCs w:val="21"/>
        </w:rPr>
      </w:pPr>
      <w:r>
        <w:rPr>
          <w:kern w:val="2"/>
          <w:sz w:val="21"/>
          <w:szCs w:val="21"/>
        </w:rPr>
        <w:t>结合深翻，施腐熟农家肥，初果期每</w:t>
      </w:r>
      <w:r>
        <w:rPr>
          <w:rFonts w:hint="eastAsia"/>
          <w:kern w:val="2"/>
          <w:sz w:val="21"/>
          <w:szCs w:val="21"/>
        </w:rPr>
        <w:t>千克</w:t>
      </w:r>
      <w:r>
        <w:rPr>
          <w:kern w:val="2"/>
          <w:sz w:val="21"/>
          <w:szCs w:val="21"/>
        </w:rPr>
        <w:t>果施</w:t>
      </w:r>
      <w:r>
        <w:rPr>
          <w:kern w:val="2"/>
          <w:sz w:val="21"/>
          <w:szCs w:val="21"/>
        </w:rPr>
        <w:t>1kg</w:t>
      </w:r>
      <w:r>
        <w:rPr>
          <w:kern w:val="2"/>
          <w:sz w:val="21"/>
          <w:szCs w:val="21"/>
        </w:rPr>
        <w:t>～</w:t>
      </w:r>
      <w:r>
        <w:rPr>
          <w:kern w:val="2"/>
          <w:sz w:val="21"/>
          <w:szCs w:val="21"/>
        </w:rPr>
        <w:t>2kg</w:t>
      </w:r>
      <w:r>
        <w:rPr>
          <w:kern w:val="2"/>
          <w:sz w:val="21"/>
          <w:szCs w:val="21"/>
        </w:rPr>
        <w:t>，盛果期施</w:t>
      </w:r>
      <w:r>
        <w:rPr>
          <w:kern w:val="2"/>
          <w:sz w:val="21"/>
          <w:szCs w:val="21"/>
        </w:rPr>
        <w:t>3000kg</w:t>
      </w:r>
      <w:r>
        <w:rPr>
          <w:kern w:val="2"/>
          <w:sz w:val="21"/>
          <w:szCs w:val="21"/>
        </w:rPr>
        <w:t>～</w:t>
      </w:r>
      <w:r>
        <w:rPr>
          <w:kern w:val="2"/>
          <w:sz w:val="21"/>
          <w:szCs w:val="21"/>
        </w:rPr>
        <w:t>5000kg/</w:t>
      </w:r>
      <w:r>
        <w:rPr>
          <w:kern w:val="2"/>
          <w:sz w:val="21"/>
          <w:szCs w:val="21"/>
        </w:rPr>
        <w:t>亩、过磷酸钙</w:t>
      </w:r>
      <w:r>
        <w:rPr>
          <w:kern w:val="2"/>
          <w:sz w:val="21"/>
          <w:szCs w:val="21"/>
        </w:rPr>
        <w:t>1kg/</w:t>
      </w:r>
      <w:r>
        <w:rPr>
          <w:kern w:val="2"/>
          <w:sz w:val="21"/>
          <w:szCs w:val="21"/>
        </w:rPr>
        <w:t>株。</w:t>
      </w:r>
    </w:p>
    <w:p w:rsidR="00CF37BF" w:rsidRDefault="00562902" w:rsidP="000218B1">
      <w:pPr>
        <w:pStyle w:val="3"/>
      </w:pPr>
      <w:r>
        <w:rPr>
          <w:rFonts w:hint="eastAsia"/>
        </w:rPr>
        <w:t>6.2.2 追肥</w:t>
      </w:r>
    </w:p>
    <w:p w:rsidR="00CF37BF" w:rsidRDefault="00562902">
      <w:pPr>
        <w:widowControl w:val="0"/>
        <w:adjustRightInd w:val="0"/>
        <w:snapToGrid w:val="0"/>
        <w:ind w:firstLineChars="200" w:firstLine="420"/>
        <w:jc w:val="both"/>
        <w:rPr>
          <w:kern w:val="2"/>
          <w:sz w:val="21"/>
          <w:szCs w:val="21"/>
        </w:rPr>
      </w:pPr>
      <w:r>
        <w:rPr>
          <w:kern w:val="2"/>
          <w:sz w:val="21"/>
          <w:szCs w:val="21"/>
        </w:rPr>
        <w:t>追肥以速效化肥为主。在树冠下挖</w:t>
      </w:r>
      <w:r>
        <w:rPr>
          <w:kern w:val="2"/>
          <w:sz w:val="21"/>
          <w:szCs w:val="21"/>
        </w:rPr>
        <w:t>5cm</w:t>
      </w:r>
      <w:r>
        <w:rPr>
          <w:kern w:val="2"/>
          <w:sz w:val="21"/>
          <w:szCs w:val="21"/>
        </w:rPr>
        <w:t>～</w:t>
      </w:r>
      <w:r>
        <w:rPr>
          <w:kern w:val="2"/>
          <w:sz w:val="21"/>
          <w:szCs w:val="21"/>
        </w:rPr>
        <w:t>10cm</w:t>
      </w:r>
      <w:r>
        <w:rPr>
          <w:kern w:val="2"/>
          <w:sz w:val="21"/>
          <w:szCs w:val="21"/>
        </w:rPr>
        <w:t>深的条沟，将化肥均匀施入并覆土和浇水。果实膨大期，一般按每</w:t>
      </w:r>
      <w:r>
        <w:rPr>
          <w:kern w:val="2"/>
          <w:sz w:val="21"/>
          <w:szCs w:val="21"/>
        </w:rPr>
        <w:t>100</w:t>
      </w:r>
      <w:r>
        <w:rPr>
          <w:rFonts w:hint="eastAsia"/>
          <w:kern w:val="2"/>
          <w:sz w:val="21"/>
          <w:szCs w:val="21"/>
        </w:rPr>
        <w:t>千克</w:t>
      </w:r>
      <w:r>
        <w:rPr>
          <w:kern w:val="2"/>
          <w:sz w:val="21"/>
          <w:szCs w:val="21"/>
        </w:rPr>
        <w:t>产量，追施尿素</w:t>
      </w:r>
      <w:r>
        <w:rPr>
          <w:kern w:val="2"/>
          <w:sz w:val="21"/>
          <w:szCs w:val="21"/>
        </w:rPr>
        <w:t>0.6kg</w:t>
      </w:r>
      <w:r>
        <w:rPr>
          <w:kern w:val="2"/>
          <w:sz w:val="21"/>
          <w:szCs w:val="21"/>
        </w:rPr>
        <w:t>～</w:t>
      </w:r>
      <w:r>
        <w:rPr>
          <w:kern w:val="2"/>
          <w:sz w:val="21"/>
          <w:szCs w:val="21"/>
        </w:rPr>
        <w:t>1kg</w:t>
      </w:r>
      <w:r>
        <w:rPr>
          <w:kern w:val="2"/>
          <w:sz w:val="21"/>
          <w:szCs w:val="21"/>
        </w:rPr>
        <w:t>、过磷酸钙</w:t>
      </w:r>
      <w:r>
        <w:rPr>
          <w:kern w:val="2"/>
          <w:sz w:val="21"/>
          <w:szCs w:val="21"/>
        </w:rPr>
        <w:t>0.25kg</w:t>
      </w:r>
      <w:r>
        <w:rPr>
          <w:kern w:val="2"/>
          <w:sz w:val="21"/>
          <w:szCs w:val="21"/>
        </w:rPr>
        <w:t>～</w:t>
      </w:r>
      <w:r>
        <w:rPr>
          <w:kern w:val="2"/>
          <w:sz w:val="21"/>
          <w:szCs w:val="21"/>
        </w:rPr>
        <w:t>0.4kg</w:t>
      </w:r>
      <w:r>
        <w:rPr>
          <w:kern w:val="2"/>
          <w:sz w:val="21"/>
          <w:szCs w:val="21"/>
        </w:rPr>
        <w:t>、硫酸钾</w:t>
      </w:r>
      <w:r>
        <w:rPr>
          <w:kern w:val="2"/>
          <w:sz w:val="21"/>
          <w:szCs w:val="21"/>
        </w:rPr>
        <w:t>1.0kg</w:t>
      </w:r>
      <w:r>
        <w:rPr>
          <w:kern w:val="2"/>
          <w:sz w:val="21"/>
          <w:szCs w:val="21"/>
        </w:rPr>
        <w:t>～</w:t>
      </w:r>
      <w:r>
        <w:rPr>
          <w:kern w:val="2"/>
          <w:sz w:val="21"/>
          <w:szCs w:val="21"/>
        </w:rPr>
        <w:t>1.2kg</w:t>
      </w:r>
      <w:r>
        <w:rPr>
          <w:kern w:val="2"/>
          <w:sz w:val="21"/>
          <w:szCs w:val="21"/>
        </w:rPr>
        <w:t>。</w:t>
      </w:r>
      <w:r>
        <w:rPr>
          <w:kern w:val="2"/>
          <w:sz w:val="21"/>
          <w:szCs w:val="21"/>
        </w:rPr>
        <w:t xml:space="preserve"> </w:t>
      </w:r>
    </w:p>
    <w:p w:rsidR="00CF37BF" w:rsidRDefault="00562902" w:rsidP="000218B1">
      <w:pPr>
        <w:pStyle w:val="1"/>
      </w:pPr>
      <w:r>
        <w:rPr>
          <w:rFonts w:hint="eastAsia"/>
        </w:rPr>
        <w:t>7  病虫害防治</w:t>
      </w:r>
    </w:p>
    <w:p w:rsidR="00CF37BF" w:rsidRDefault="00562902" w:rsidP="000218B1">
      <w:pPr>
        <w:pStyle w:val="2"/>
        <w:rPr>
          <w:kern w:val="2"/>
        </w:rPr>
      </w:pPr>
      <w:r>
        <w:rPr>
          <w:rFonts w:hint="eastAsia"/>
        </w:rPr>
        <w:t>7.1 防治原则</w:t>
      </w:r>
    </w:p>
    <w:p w:rsidR="00CF37BF" w:rsidRDefault="00426D06">
      <w:pPr>
        <w:ind w:firstLineChars="200" w:firstLine="420"/>
        <w:rPr>
          <w:kern w:val="2"/>
          <w:sz w:val="21"/>
          <w:szCs w:val="21"/>
        </w:rPr>
      </w:pPr>
      <w:r w:rsidRPr="00426D06">
        <w:rPr>
          <w:rFonts w:hint="eastAsia"/>
          <w:kern w:val="2"/>
          <w:sz w:val="21"/>
          <w:szCs w:val="21"/>
        </w:rPr>
        <w:t>按照“预防为主、综合防治”的植保方针，在做好</w:t>
      </w:r>
      <w:r>
        <w:rPr>
          <w:rFonts w:hint="eastAsia"/>
          <w:kern w:val="2"/>
          <w:sz w:val="21"/>
          <w:szCs w:val="21"/>
        </w:rPr>
        <w:t>或苗木</w:t>
      </w:r>
      <w:r w:rsidRPr="00426D06">
        <w:rPr>
          <w:rFonts w:hint="eastAsia"/>
          <w:kern w:val="2"/>
          <w:sz w:val="21"/>
          <w:szCs w:val="21"/>
        </w:rPr>
        <w:t>检疫和病虫害田间监测的基础上，针对</w:t>
      </w:r>
      <w:r>
        <w:rPr>
          <w:rFonts w:hint="eastAsia"/>
          <w:kern w:val="2"/>
          <w:sz w:val="21"/>
          <w:szCs w:val="21"/>
        </w:rPr>
        <w:t>李子</w:t>
      </w:r>
      <w:r w:rsidRPr="00426D06">
        <w:rPr>
          <w:rFonts w:hint="eastAsia"/>
          <w:kern w:val="2"/>
          <w:sz w:val="21"/>
          <w:szCs w:val="21"/>
        </w:rPr>
        <w:t>不同生育期主要病虫害发生特点，优先采用农业措施、物理防治、生物防治，辅之以科学合理的化学防治的绿色防控技术，实现</w:t>
      </w:r>
      <w:r>
        <w:rPr>
          <w:rFonts w:hint="eastAsia"/>
          <w:kern w:val="2"/>
          <w:sz w:val="21"/>
          <w:szCs w:val="21"/>
        </w:rPr>
        <w:t>李子</w:t>
      </w:r>
      <w:r w:rsidRPr="00426D06">
        <w:rPr>
          <w:rFonts w:hint="eastAsia"/>
          <w:kern w:val="2"/>
          <w:sz w:val="21"/>
          <w:szCs w:val="21"/>
        </w:rPr>
        <w:t>病虫害绿色防控和优质安全生产。</w:t>
      </w:r>
    </w:p>
    <w:p w:rsidR="00CF37BF" w:rsidRDefault="00562902" w:rsidP="000218B1">
      <w:pPr>
        <w:pStyle w:val="2"/>
      </w:pPr>
      <w:r>
        <w:rPr>
          <w:rFonts w:hint="eastAsia"/>
        </w:rPr>
        <w:t>7.2  常见病虫害</w:t>
      </w:r>
    </w:p>
    <w:p w:rsidR="00CF37BF" w:rsidRDefault="00562902">
      <w:pPr>
        <w:ind w:firstLineChars="200" w:firstLine="420"/>
        <w:rPr>
          <w:kern w:val="2"/>
          <w:sz w:val="21"/>
          <w:szCs w:val="21"/>
        </w:rPr>
      </w:pPr>
      <w:r>
        <w:rPr>
          <w:kern w:val="2"/>
          <w:sz w:val="21"/>
          <w:szCs w:val="21"/>
        </w:rPr>
        <w:t>李子常见病害包括红点病、细菌性穿孔病、流胶病、炭疽病等；常见虫害包括食心虫、卷叶蛾、蚜虫、红蜘蛛等。</w:t>
      </w:r>
    </w:p>
    <w:p w:rsidR="00CF37BF" w:rsidRDefault="00562902" w:rsidP="000218B1">
      <w:pPr>
        <w:pStyle w:val="2"/>
        <w:rPr>
          <w:kern w:val="2"/>
        </w:rPr>
      </w:pPr>
      <w:r>
        <w:rPr>
          <w:rFonts w:hint="eastAsia"/>
        </w:rPr>
        <w:lastRenderedPageBreak/>
        <w:t>7.3  防治措施</w:t>
      </w:r>
    </w:p>
    <w:p w:rsidR="00CF37BF" w:rsidRDefault="00562902" w:rsidP="000218B1">
      <w:pPr>
        <w:pStyle w:val="3"/>
      </w:pPr>
      <w:r>
        <w:rPr>
          <w:rFonts w:hint="eastAsia"/>
        </w:rPr>
        <w:t>7.3.1  农业防治</w:t>
      </w:r>
    </w:p>
    <w:p w:rsidR="00CF37BF" w:rsidRDefault="00562902">
      <w:pPr>
        <w:ind w:firstLineChars="200" w:firstLine="420"/>
        <w:rPr>
          <w:kern w:val="2"/>
          <w:sz w:val="21"/>
          <w:szCs w:val="21"/>
        </w:rPr>
      </w:pPr>
      <w:r>
        <w:rPr>
          <w:kern w:val="2"/>
          <w:sz w:val="21"/>
          <w:szCs w:val="21"/>
        </w:rPr>
        <w:t>休眠期及时清园，剪除病虫枝和僵果，清除枯枝落叶，刮除粗、翘裂皮，带出园外深埋；生长季节及时清理落地病虫枝、叶、果，集中处理，消除病虫害传播源。</w:t>
      </w:r>
      <w:r>
        <w:rPr>
          <w:kern w:val="2"/>
          <w:sz w:val="21"/>
          <w:szCs w:val="21"/>
        </w:rPr>
        <w:t xml:space="preserve"> </w:t>
      </w:r>
    </w:p>
    <w:p w:rsidR="00CF37BF" w:rsidRDefault="00562902" w:rsidP="000218B1">
      <w:pPr>
        <w:pStyle w:val="3"/>
      </w:pPr>
      <w:r>
        <w:rPr>
          <w:rFonts w:hint="eastAsia"/>
        </w:rPr>
        <w:t>7.3.2  生物防治</w:t>
      </w:r>
    </w:p>
    <w:p w:rsidR="00CF37BF" w:rsidRDefault="00562902">
      <w:pPr>
        <w:ind w:firstLineChars="200" w:firstLine="420"/>
        <w:rPr>
          <w:kern w:val="2"/>
          <w:sz w:val="21"/>
          <w:szCs w:val="21"/>
        </w:rPr>
      </w:pPr>
      <w:r>
        <w:rPr>
          <w:kern w:val="2"/>
          <w:sz w:val="21"/>
          <w:szCs w:val="21"/>
        </w:rPr>
        <w:t>可使用梨小食心虫缓释性信息素谜向丝干扰梨小食心虫交配减轻危害。</w:t>
      </w:r>
    </w:p>
    <w:p w:rsidR="00CF37BF" w:rsidRDefault="00562902" w:rsidP="000218B1">
      <w:pPr>
        <w:pStyle w:val="3"/>
      </w:pPr>
      <w:r>
        <w:rPr>
          <w:rFonts w:hint="eastAsia"/>
        </w:rPr>
        <w:t>7.3.3  物理防治</w:t>
      </w:r>
    </w:p>
    <w:p w:rsidR="00CF37BF" w:rsidRDefault="00562902">
      <w:pPr>
        <w:spacing w:beforeLines="50" w:before="163" w:afterLines="50" w:after="163"/>
        <w:rPr>
          <w:rFonts w:ascii="黑体" w:eastAsia="黑体" w:hAnsi="黑体" w:cs="黑体"/>
          <w:sz w:val="21"/>
          <w:szCs w:val="21"/>
        </w:rPr>
      </w:pPr>
      <w:r>
        <w:rPr>
          <w:rFonts w:ascii="黑体" w:eastAsia="黑体" w:hAnsi="黑体" w:cs="黑体" w:hint="eastAsia"/>
          <w:sz w:val="21"/>
          <w:szCs w:val="21"/>
        </w:rPr>
        <w:t>7.3.3.1 杀虫灯诱杀</w:t>
      </w:r>
    </w:p>
    <w:p w:rsidR="00CF37BF" w:rsidRDefault="00562902">
      <w:pPr>
        <w:ind w:firstLineChars="200" w:firstLine="420"/>
        <w:rPr>
          <w:kern w:val="2"/>
          <w:sz w:val="21"/>
          <w:szCs w:val="21"/>
        </w:rPr>
      </w:pPr>
      <w:r>
        <w:rPr>
          <w:kern w:val="2"/>
          <w:sz w:val="21"/>
          <w:szCs w:val="21"/>
        </w:rPr>
        <w:t>利用杀虫灯在食心虫、卷叶娥类害虫成虫阶段，夜晚开灯绣杀，每公顷果园悬挂一盏杀虫灯，距离地面</w:t>
      </w:r>
      <w:r>
        <w:rPr>
          <w:kern w:val="2"/>
          <w:sz w:val="21"/>
          <w:szCs w:val="21"/>
        </w:rPr>
        <w:t>1.5m</w:t>
      </w:r>
      <w:r>
        <w:rPr>
          <w:kern w:val="2"/>
          <w:sz w:val="21"/>
          <w:szCs w:val="21"/>
        </w:rPr>
        <w:t>～</w:t>
      </w:r>
      <w:r>
        <w:rPr>
          <w:kern w:val="2"/>
          <w:sz w:val="21"/>
          <w:szCs w:val="21"/>
        </w:rPr>
        <w:t>2m</w:t>
      </w:r>
      <w:r>
        <w:rPr>
          <w:kern w:val="2"/>
          <w:sz w:val="21"/>
          <w:szCs w:val="21"/>
        </w:rPr>
        <w:t>为宜。</w:t>
      </w:r>
    </w:p>
    <w:p w:rsidR="00CF37BF" w:rsidRDefault="00562902">
      <w:pPr>
        <w:spacing w:beforeLines="50" w:before="163" w:afterLines="50" w:after="163"/>
        <w:rPr>
          <w:rFonts w:ascii="黑体" w:eastAsia="黑体" w:hAnsi="黑体" w:cs="黑体"/>
          <w:sz w:val="21"/>
          <w:szCs w:val="21"/>
        </w:rPr>
      </w:pPr>
      <w:r>
        <w:rPr>
          <w:rFonts w:ascii="黑体" w:eastAsia="黑体" w:hAnsi="黑体" w:cs="黑体" w:hint="eastAsia"/>
          <w:sz w:val="21"/>
          <w:szCs w:val="21"/>
        </w:rPr>
        <w:t>7.3.3.2 黄板诱杀</w:t>
      </w:r>
    </w:p>
    <w:p w:rsidR="00CF37BF" w:rsidRDefault="00562902">
      <w:pPr>
        <w:ind w:firstLineChars="200" w:firstLine="420"/>
        <w:rPr>
          <w:kern w:val="2"/>
          <w:sz w:val="21"/>
          <w:szCs w:val="21"/>
        </w:rPr>
      </w:pPr>
      <w:r>
        <w:rPr>
          <w:rFonts w:hint="eastAsia"/>
          <w:kern w:val="2"/>
          <w:sz w:val="21"/>
          <w:szCs w:val="21"/>
        </w:rPr>
        <w:t>利用</w:t>
      </w:r>
      <w:r>
        <w:rPr>
          <w:kern w:val="2"/>
          <w:sz w:val="21"/>
          <w:szCs w:val="21"/>
        </w:rPr>
        <w:t>黄粘板，诱杀蚜虫、红蜘蛛等害虫。每亩悬挂</w:t>
      </w:r>
      <w:r>
        <w:rPr>
          <w:kern w:val="2"/>
          <w:sz w:val="21"/>
          <w:szCs w:val="21"/>
        </w:rPr>
        <w:t>20cm×25cm</w:t>
      </w:r>
      <w:r>
        <w:rPr>
          <w:kern w:val="2"/>
          <w:sz w:val="21"/>
          <w:szCs w:val="21"/>
        </w:rPr>
        <w:t>黄板</w:t>
      </w:r>
      <w:r>
        <w:rPr>
          <w:kern w:val="2"/>
          <w:sz w:val="21"/>
          <w:szCs w:val="21"/>
        </w:rPr>
        <w:t>40</w:t>
      </w:r>
      <w:r>
        <w:rPr>
          <w:kern w:val="2"/>
          <w:sz w:val="21"/>
          <w:szCs w:val="21"/>
        </w:rPr>
        <w:t>片～</w:t>
      </w:r>
      <w:r>
        <w:rPr>
          <w:kern w:val="2"/>
          <w:sz w:val="21"/>
          <w:szCs w:val="21"/>
        </w:rPr>
        <w:t>60</w:t>
      </w:r>
      <w:r>
        <w:rPr>
          <w:kern w:val="2"/>
          <w:sz w:val="21"/>
          <w:szCs w:val="21"/>
        </w:rPr>
        <w:t>片。</w:t>
      </w:r>
    </w:p>
    <w:p w:rsidR="00CF37BF" w:rsidRDefault="00562902">
      <w:pPr>
        <w:spacing w:beforeLines="50" w:before="163" w:afterLines="50" w:after="163"/>
        <w:rPr>
          <w:rFonts w:ascii="黑体" w:eastAsia="黑体" w:hAnsi="黑体" w:cs="黑体"/>
          <w:kern w:val="2"/>
          <w:sz w:val="21"/>
          <w:szCs w:val="21"/>
        </w:rPr>
      </w:pPr>
      <w:r>
        <w:rPr>
          <w:rFonts w:ascii="黑体" w:eastAsia="黑体" w:hAnsi="黑体" w:cs="黑体" w:hint="eastAsia"/>
          <w:sz w:val="21"/>
          <w:szCs w:val="21"/>
        </w:rPr>
        <w:t>7.3.3.3 糖醋液诱杀</w:t>
      </w:r>
    </w:p>
    <w:p w:rsidR="00CF37BF" w:rsidRDefault="00562902">
      <w:pPr>
        <w:ind w:firstLineChars="200" w:firstLine="420"/>
        <w:rPr>
          <w:kern w:val="2"/>
          <w:sz w:val="21"/>
          <w:szCs w:val="21"/>
        </w:rPr>
      </w:pPr>
      <w:r>
        <w:rPr>
          <w:rFonts w:hint="eastAsia"/>
          <w:kern w:val="2"/>
          <w:sz w:val="21"/>
          <w:szCs w:val="21"/>
        </w:rPr>
        <w:t>利用</w:t>
      </w:r>
      <w:r>
        <w:rPr>
          <w:kern w:val="2"/>
          <w:sz w:val="21"/>
          <w:szCs w:val="21"/>
        </w:rPr>
        <w:t>糖醋液诱杀金龟子、食心虫等多种害虫。糖醋液的配方</w:t>
      </w:r>
      <w:r>
        <w:rPr>
          <w:rFonts w:hint="eastAsia"/>
          <w:kern w:val="2"/>
          <w:sz w:val="21"/>
          <w:szCs w:val="21"/>
        </w:rPr>
        <w:t>：</w:t>
      </w:r>
      <w:r>
        <w:rPr>
          <w:kern w:val="2"/>
          <w:sz w:val="21"/>
          <w:szCs w:val="21"/>
        </w:rPr>
        <w:t>糖</w:t>
      </w:r>
      <w:r>
        <w:rPr>
          <w:kern w:val="2"/>
          <w:sz w:val="21"/>
          <w:szCs w:val="21"/>
        </w:rPr>
        <w:t>1</w:t>
      </w:r>
      <w:r>
        <w:rPr>
          <w:kern w:val="2"/>
          <w:sz w:val="21"/>
          <w:szCs w:val="21"/>
        </w:rPr>
        <w:t>份、醋</w:t>
      </w:r>
      <w:r>
        <w:rPr>
          <w:rFonts w:hint="eastAsia"/>
          <w:kern w:val="2"/>
          <w:sz w:val="21"/>
          <w:szCs w:val="21"/>
        </w:rPr>
        <w:t>2</w:t>
      </w:r>
      <w:r>
        <w:rPr>
          <w:kern w:val="2"/>
          <w:sz w:val="21"/>
          <w:szCs w:val="21"/>
        </w:rPr>
        <w:t>份</w:t>
      </w:r>
      <w:r>
        <w:rPr>
          <w:rFonts w:hint="eastAsia"/>
          <w:kern w:val="2"/>
          <w:sz w:val="21"/>
          <w:szCs w:val="21"/>
        </w:rPr>
        <w:t>、</w:t>
      </w:r>
      <w:r>
        <w:rPr>
          <w:kern w:val="2"/>
          <w:sz w:val="21"/>
          <w:szCs w:val="21"/>
        </w:rPr>
        <w:t>酒精</w:t>
      </w:r>
      <w:r>
        <w:rPr>
          <w:kern w:val="2"/>
          <w:sz w:val="21"/>
          <w:szCs w:val="21"/>
        </w:rPr>
        <w:t>0.5</w:t>
      </w:r>
      <w:r>
        <w:rPr>
          <w:kern w:val="2"/>
          <w:sz w:val="21"/>
          <w:szCs w:val="21"/>
        </w:rPr>
        <w:t>份、水</w:t>
      </w:r>
      <w:r>
        <w:rPr>
          <w:rFonts w:hint="eastAsia"/>
          <w:kern w:val="2"/>
          <w:sz w:val="21"/>
          <w:szCs w:val="21"/>
        </w:rPr>
        <w:t>3</w:t>
      </w:r>
      <w:r>
        <w:rPr>
          <w:kern w:val="2"/>
          <w:sz w:val="21"/>
          <w:szCs w:val="21"/>
        </w:rPr>
        <w:t>份</w:t>
      </w:r>
      <w:r>
        <w:rPr>
          <w:rFonts w:hint="eastAsia"/>
          <w:kern w:val="2"/>
          <w:sz w:val="21"/>
          <w:szCs w:val="21"/>
        </w:rPr>
        <w:t>，</w:t>
      </w:r>
      <w:r>
        <w:rPr>
          <w:kern w:val="2"/>
          <w:sz w:val="21"/>
          <w:szCs w:val="21"/>
        </w:rPr>
        <w:t>装广口瓶内悬挂树上，每天收虫补加糖醋液，</w:t>
      </w:r>
      <w:r>
        <w:rPr>
          <w:kern w:val="2"/>
          <w:sz w:val="21"/>
          <w:szCs w:val="21"/>
        </w:rPr>
        <w:t>10d</w:t>
      </w:r>
      <w:r>
        <w:rPr>
          <w:kern w:val="2"/>
          <w:sz w:val="21"/>
          <w:szCs w:val="21"/>
        </w:rPr>
        <w:t>～</w:t>
      </w:r>
      <w:r>
        <w:rPr>
          <w:kern w:val="2"/>
          <w:sz w:val="21"/>
          <w:szCs w:val="21"/>
        </w:rPr>
        <w:t>15d</w:t>
      </w:r>
      <w:r>
        <w:rPr>
          <w:kern w:val="2"/>
          <w:sz w:val="21"/>
          <w:szCs w:val="21"/>
        </w:rPr>
        <w:t>更换</w:t>
      </w:r>
      <w:r>
        <w:rPr>
          <w:kern w:val="2"/>
          <w:sz w:val="21"/>
          <w:szCs w:val="21"/>
        </w:rPr>
        <w:t>1</w:t>
      </w:r>
      <w:r>
        <w:rPr>
          <w:kern w:val="2"/>
          <w:sz w:val="21"/>
          <w:szCs w:val="21"/>
        </w:rPr>
        <w:t>次。</w:t>
      </w:r>
    </w:p>
    <w:p w:rsidR="00CF37BF" w:rsidRDefault="00562902" w:rsidP="000218B1">
      <w:pPr>
        <w:pStyle w:val="3"/>
      </w:pPr>
      <w:r>
        <w:rPr>
          <w:rFonts w:hint="eastAsia"/>
        </w:rPr>
        <w:t>7.3.4  化学防治</w:t>
      </w:r>
    </w:p>
    <w:p w:rsidR="00CF37BF" w:rsidRDefault="00562902">
      <w:pPr>
        <w:pStyle w:val="a8"/>
        <w:rPr>
          <w:rFonts w:ascii="Times New Roman"/>
          <w:kern w:val="2"/>
          <w:szCs w:val="21"/>
        </w:rPr>
      </w:pPr>
      <w:r>
        <w:rPr>
          <w:rFonts w:ascii="Times New Roman"/>
          <w:kern w:val="2"/>
          <w:szCs w:val="21"/>
        </w:rPr>
        <w:t>萌芽前全树</w:t>
      </w:r>
      <w:r>
        <w:rPr>
          <w:rFonts w:ascii="Times New Roman" w:hint="eastAsia"/>
          <w:kern w:val="2"/>
          <w:szCs w:val="21"/>
        </w:rPr>
        <w:t>喷施</w:t>
      </w:r>
      <w:r w:rsidR="00DA2895">
        <w:rPr>
          <w:rFonts w:ascii="Times New Roman" w:hint="eastAsia"/>
          <w:kern w:val="2"/>
          <w:szCs w:val="21"/>
        </w:rPr>
        <w:t>自配</w:t>
      </w:r>
      <w:r>
        <w:rPr>
          <w:rFonts w:ascii="Times New Roman"/>
          <w:kern w:val="2"/>
          <w:szCs w:val="21"/>
        </w:rPr>
        <w:t>3</w:t>
      </w:r>
      <w:r>
        <w:rPr>
          <w:rFonts w:ascii="Times New Roman"/>
          <w:spacing w:val="-45"/>
          <w:kern w:val="2"/>
          <w:szCs w:val="21"/>
        </w:rPr>
        <w:t xml:space="preserve">°B    </w:t>
      </w:r>
      <w:r>
        <w:rPr>
          <w:rFonts w:ascii="Times New Roman"/>
          <w:kern w:val="2"/>
          <w:szCs w:val="21"/>
        </w:rPr>
        <w:t>～</w:t>
      </w:r>
      <w:r>
        <w:rPr>
          <w:rFonts w:ascii="Times New Roman"/>
          <w:kern w:val="2"/>
          <w:szCs w:val="21"/>
        </w:rPr>
        <w:t>5</w:t>
      </w:r>
      <w:r>
        <w:rPr>
          <w:rFonts w:ascii="Times New Roman"/>
          <w:spacing w:val="-45"/>
          <w:kern w:val="2"/>
          <w:szCs w:val="21"/>
        </w:rPr>
        <w:t xml:space="preserve">°B    </w:t>
      </w:r>
      <w:r>
        <w:rPr>
          <w:rFonts w:ascii="Times New Roman"/>
          <w:kern w:val="2"/>
          <w:szCs w:val="21"/>
        </w:rPr>
        <w:t>石硫合剂，降低越冬病虫基数。选择高效，低毒，低残留环境友好型农药，精准适时用药，尽量减少化学农药用量</w:t>
      </w:r>
    </w:p>
    <w:p w:rsidR="00CF37BF" w:rsidRDefault="00562902">
      <w:pPr>
        <w:pStyle w:val="a8"/>
        <w:rPr>
          <w:rFonts w:ascii="Times New Roman"/>
          <w:kern w:val="2"/>
          <w:szCs w:val="21"/>
        </w:rPr>
      </w:pPr>
      <w:r>
        <w:rPr>
          <w:rFonts w:ascii="Times New Roman"/>
          <w:kern w:val="2"/>
          <w:szCs w:val="21"/>
        </w:rPr>
        <w:t>化学防治药剂和方法参见附录</w:t>
      </w:r>
      <w:r>
        <w:rPr>
          <w:rFonts w:ascii="Times New Roman"/>
          <w:kern w:val="2"/>
          <w:szCs w:val="21"/>
        </w:rPr>
        <w:t>A</w:t>
      </w:r>
      <w:r>
        <w:rPr>
          <w:rFonts w:ascii="Times New Roman"/>
          <w:kern w:val="2"/>
          <w:szCs w:val="21"/>
        </w:rPr>
        <w:t>。药剂使用应符合</w:t>
      </w:r>
      <w:r>
        <w:rPr>
          <w:rFonts w:ascii="Times New Roman"/>
          <w:kern w:val="2"/>
          <w:szCs w:val="21"/>
        </w:rPr>
        <w:t>NY/T 393</w:t>
      </w:r>
      <w:r>
        <w:rPr>
          <w:rFonts w:ascii="Times New Roman"/>
          <w:kern w:val="2"/>
          <w:szCs w:val="21"/>
        </w:rPr>
        <w:t>规定的要求。</w:t>
      </w:r>
    </w:p>
    <w:p w:rsidR="00CF37BF" w:rsidRDefault="00562902" w:rsidP="000218B1">
      <w:pPr>
        <w:pStyle w:val="1"/>
      </w:pPr>
      <w:r>
        <w:rPr>
          <w:rFonts w:hint="eastAsia"/>
        </w:rPr>
        <w:t xml:space="preserve">8  整形修剪 </w:t>
      </w:r>
    </w:p>
    <w:p w:rsidR="00CF37BF" w:rsidRDefault="00562902" w:rsidP="000218B1">
      <w:pPr>
        <w:pStyle w:val="2"/>
        <w:rPr>
          <w:kern w:val="2"/>
        </w:rPr>
      </w:pPr>
      <w:r>
        <w:rPr>
          <w:rFonts w:hint="eastAsia"/>
        </w:rPr>
        <w:t>8.1 修剪时间</w:t>
      </w:r>
      <w:r>
        <w:rPr>
          <w:rFonts w:hint="eastAsia"/>
          <w:kern w:val="2"/>
        </w:rPr>
        <w:t xml:space="preserve"> </w:t>
      </w:r>
    </w:p>
    <w:p w:rsidR="00CF37BF" w:rsidRDefault="00562902">
      <w:pPr>
        <w:ind w:firstLineChars="200" w:firstLine="420"/>
        <w:rPr>
          <w:rFonts w:eastAsiaTheme="minorEastAsia"/>
          <w:kern w:val="2"/>
          <w:sz w:val="21"/>
          <w:szCs w:val="21"/>
        </w:rPr>
      </w:pPr>
      <w:r>
        <w:rPr>
          <w:rFonts w:eastAsiaTheme="minorEastAsia"/>
          <w:kern w:val="2"/>
          <w:sz w:val="21"/>
          <w:szCs w:val="21"/>
        </w:rPr>
        <w:t>冬季修剪在落叶后至萌芽前进行，夏季修剪在萌芽后至落叶前进行。</w:t>
      </w:r>
    </w:p>
    <w:p w:rsidR="00CF37BF" w:rsidRDefault="00562902" w:rsidP="000218B1">
      <w:pPr>
        <w:pStyle w:val="2"/>
      </w:pPr>
      <w:r>
        <w:rPr>
          <w:rFonts w:hint="eastAsia"/>
        </w:rPr>
        <w:t>8.2 修剪原则</w:t>
      </w:r>
    </w:p>
    <w:p w:rsidR="00CF37BF" w:rsidRDefault="00562902">
      <w:pPr>
        <w:ind w:firstLineChars="200" w:firstLine="420"/>
        <w:rPr>
          <w:kern w:val="2"/>
          <w:sz w:val="21"/>
          <w:szCs w:val="21"/>
        </w:rPr>
      </w:pPr>
      <w:r>
        <w:rPr>
          <w:kern w:val="2"/>
          <w:sz w:val="21"/>
          <w:szCs w:val="21"/>
        </w:rPr>
        <w:t>休眠期修剪与生长期修剪相结合，改善通风透光条件，保持营养生长和生殖生长平衡，减少病虫害发生，达到连年高产、稳产。</w:t>
      </w:r>
    </w:p>
    <w:p w:rsidR="00CF37BF" w:rsidRDefault="00562902" w:rsidP="000218B1">
      <w:pPr>
        <w:pStyle w:val="2"/>
      </w:pPr>
      <w:r>
        <w:rPr>
          <w:rFonts w:hint="eastAsia"/>
        </w:rPr>
        <w:t>8.2 冬季修剪</w:t>
      </w:r>
    </w:p>
    <w:p w:rsidR="00CF37BF" w:rsidRDefault="00562902">
      <w:pPr>
        <w:rPr>
          <w:rFonts w:eastAsia="黑体"/>
          <w:kern w:val="2"/>
          <w:sz w:val="21"/>
          <w:szCs w:val="21"/>
        </w:rPr>
      </w:pPr>
      <w:r>
        <w:rPr>
          <w:rFonts w:eastAsia="黑体"/>
          <w:kern w:val="2"/>
          <w:sz w:val="21"/>
          <w:szCs w:val="21"/>
        </w:rPr>
        <w:t xml:space="preserve">    </w:t>
      </w:r>
      <w:r>
        <w:rPr>
          <w:kern w:val="2"/>
          <w:sz w:val="21"/>
          <w:szCs w:val="21"/>
        </w:rPr>
        <w:t>冬季修剪采取短截、疏枝、回缩、拉枝等方法，同时剪除病虫枝，清除病僵果。</w:t>
      </w:r>
    </w:p>
    <w:p w:rsidR="00CF37BF" w:rsidRDefault="00562902" w:rsidP="000218B1">
      <w:pPr>
        <w:pStyle w:val="2"/>
      </w:pPr>
      <w:r>
        <w:rPr>
          <w:rFonts w:hint="eastAsia"/>
        </w:rPr>
        <w:t>8.3 夏季修剪</w:t>
      </w:r>
    </w:p>
    <w:p w:rsidR="00CF37BF" w:rsidRDefault="00562902">
      <w:pPr>
        <w:ind w:firstLineChars="200" w:firstLine="420"/>
        <w:rPr>
          <w:kern w:val="2"/>
          <w:sz w:val="21"/>
          <w:szCs w:val="21"/>
        </w:rPr>
      </w:pPr>
      <w:r>
        <w:rPr>
          <w:kern w:val="2"/>
          <w:sz w:val="21"/>
          <w:szCs w:val="21"/>
        </w:rPr>
        <w:t>夏剪采取拉枝、疏枝、摘心等措施，及时疏除树冠内直立旺枝、密生枝和剪锯口处的萌蘖枝等。</w:t>
      </w:r>
    </w:p>
    <w:p w:rsidR="00CF37BF" w:rsidRDefault="00562902" w:rsidP="000218B1">
      <w:pPr>
        <w:pStyle w:val="2"/>
      </w:pPr>
      <w:r>
        <w:rPr>
          <w:rFonts w:hint="eastAsia"/>
        </w:rPr>
        <w:t>8.4 不同树龄修剪</w:t>
      </w:r>
    </w:p>
    <w:p w:rsidR="00CF37BF" w:rsidRDefault="00562902" w:rsidP="000218B1">
      <w:pPr>
        <w:pStyle w:val="3"/>
      </w:pPr>
      <w:r>
        <w:rPr>
          <w:rFonts w:hint="eastAsia"/>
        </w:rPr>
        <w:t>8.4.1 幼树期修剪</w:t>
      </w:r>
    </w:p>
    <w:p w:rsidR="00CF37BF" w:rsidRDefault="00562902">
      <w:pPr>
        <w:ind w:firstLineChars="200" w:firstLine="420"/>
        <w:rPr>
          <w:kern w:val="2"/>
          <w:sz w:val="21"/>
          <w:szCs w:val="21"/>
        </w:rPr>
      </w:pPr>
      <w:r>
        <w:rPr>
          <w:kern w:val="2"/>
          <w:sz w:val="21"/>
          <w:szCs w:val="21"/>
        </w:rPr>
        <w:t>幼树期修剪，以轻剪缓放，开张枝组角度为主，尽快补充空间，构建良好的树形结构，促进树冠的形成，促发短枝，提早结果。</w:t>
      </w:r>
    </w:p>
    <w:p w:rsidR="00CF37BF" w:rsidRDefault="00562902" w:rsidP="000218B1">
      <w:pPr>
        <w:pStyle w:val="3"/>
      </w:pPr>
      <w:r>
        <w:rPr>
          <w:rFonts w:hint="eastAsia"/>
        </w:rPr>
        <w:lastRenderedPageBreak/>
        <w:t>8.4.2 盛果期修剪</w:t>
      </w:r>
    </w:p>
    <w:p w:rsidR="00CF37BF" w:rsidRDefault="00562902">
      <w:pPr>
        <w:ind w:firstLineChars="200" w:firstLine="420"/>
        <w:rPr>
          <w:kern w:val="2"/>
          <w:sz w:val="21"/>
          <w:szCs w:val="21"/>
        </w:rPr>
      </w:pPr>
      <w:r>
        <w:rPr>
          <w:kern w:val="2"/>
          <w:sz w:val="21"/>
          <w:szCs w:val="21"/>
        </w:rPr>
        <w:t>盛果期树修剪，对结果枝组要进行精细修剪，及时更新复壮。对于已经结果多年、变弱的结果枝组，可回缩到有健壮分枝位置，重新形成健壮的结果枝组。适当疏除过密的枝条，改善树冠内的通风透光条件。对于交叉枝、重叠枝，可疏除其中较弱的枝，保留中庸枝和健壮枝，延长结果期。</w:t>
      </w:r>
    </w:p>
    <w:p w:rsidR="00CF37BF" w:rsidRDefault="00562902" w:rsidP="000218B1">
      <w:pPr>
        <w:pStyle w:val="3"/>
      </w:pPr>
      <w:r>
        <w:rPr>
          <w:rFonts w:hint="eastAsia"/>
        </w:rPr>
        <w:t>8.4.3 衰老期修剪</w:t>
      </w:r>
    </w:p>
    <w:p w:rsidR="00CF37BF" w:rsidRDefault="00562902">
      <w:pPr>
        <w:ind w:firstLineChars="200" w:firstLine="420"/>
        <w:rPr>
          <w:kern w:val="2"/>
          <w:sz w:val="21"/>
          <w:szCs w:val="21"/>
        </w:rPr>
      </w:pPr>
      <w:r>
        <w:rPr>
          <w:kern w:val="2"/>
          <w:sz w:val="21"/>
          <w:szCs w:val="21"/>
        </w:rPr>
        <w:t>衰老期树修剪，可采用重回缩的方法，将主枝、侧枝等回缩到有新生枝的部位，促生健壮枝，形成新的树冠。对于萌发出的新梢，选择位置合适的作为新的骨干枝，并疏除位置不当、过密的新梢，促进树体更新复壮。</w:t>
      </w:r>
    </w:p>
    <w:p w:rsidR="00CF37BF" w:rsidRDefault="00562902" w:rsidP="000218B1">
      <w:pPr>
        <w:pStyle w:val="1"/>
      </w:pPr>
      <w:r>
        <w:rPr>
          <w:rFonts w:hint="eastAsia"/>
        </w:rPr>
        <w:t>9 花果管理</w:t>
      </w:r>
    </w:p>
    <w:p w:rsidR="00CF37BF" w:rsidRDefault="00562902" w:rsidP="000218B1">
      <w:pPr>
        <w:pStyle w:val="2"/>
      </w:pPr>
      <w:r>
        <w:rPr>
          <w:rFonts w:hint="eastAsia"/>
        </w:rPr>
        <w:t>9.1 昆虫授粉</w:t>
      </w:r>
    </w:p>
    <w:p w:rsidR="00CF37BF" w:rsidRDefault="00562902">
      <w:pPr>
        <w:ind w:firstLineChars="200" w:firstLine="420"/>
        <w:rPr>
          <w:kern w:val="2"/>
          <w:sz w:val="21"/>
          <w:szCs w:val="21"/>
        </w:rPr>
      </w:pPr>
      <w:r>
        <w:rPr>
          <w:kern w:val="2"/>
          <w:sz w:val="21"/>
          <w:szCs w:val="21"/>
        </w:rPr>
        <w:t>可在初花前</w:t>
      </w:r>
      <w:r>
        <w:rPr>
          <w:kern w:val="2"/>
          <w:sz w:val="21"/>
          <w:szCs w:val="21"/>
        </w:rPr>
        <w:t>3d</w:t>
      </w:r>
      <w:r>
        <w:rPr>
          <w:kern w:val="2"/>
          <w:sz w:val="21"/>
          <w:szCs w:val="21"/>
        </w:rPr>
        <w:t>～</w:t>
      </w:r>
      <w:r>
        <w:rPr>
          <w:kern w:val="2"/>
          <w:sz w:val="21"/>
          <w:szCs w:val="21"/>
        </w:rPr>
        <w:t>5d</w:t>
      </w:r>
      <w:r>
        <w:rPr>
          <w:kern w:val="2"/>
          <w:sz w:val="21"/>
          <w:szCs w:val="21"/>
        </w:rPr>
        <w:t>采用蜜蜂授粉，每亩放蜂</w:t>
      </w:r>
      <w:r>
        <w:rPr>
          <w:kern w:val="2"/>
          <w:sz w:val="21"/>
          <w:szCs w:val="21"/>
        </w:rPr>
        <w:t>200</w:t>
      </w:r>
      <w:r>
        <w:rPr>
          <w:kern w:val="2"/>
          <w:sz w:val="21"/>
          <w:szCs w:val="21"/>
        </w:rPr>
        <w:t>头～</w:t>
      </w:r>
      <w:r>
        <w:rPr>
          <w:kern w:val="2"/>
          <w:sz w:val="21"/>
          <w:szCs w:val="21"/>
        </w:rPr>
        <w:t>300</w:t>
      </w:r>
      <w:r>
        <w:rPr>
          <w:kern w:val="2"/>
          <w:sz w:val="21"/>
          <w:szCs w:val="21"/>
        </w:rPr>
        <w:t>头。</w:t>
      </w:r>
    </w:p>
    <w:p w:rsidR="00CF37BF" w:rsidRDefault="00562902" w:rsidP="000218B1">
      <w:pPr>
        <w:pStyle w:val="2"/>
      </w:pPr>
      <w:r>
        <w:rPr>
          <w:rFonts w:hint="eastAsia"/>
        </w:rPr>
        <w:t>9.2  疏花疏果</w:t>
      </w:r>
    </w:p>
    <w:p w:rsidR="00CF37BF" w:rsidRDefault="00562902">
      <w:pPr>
        <w:ind w:firstLineChars="200" w:firstLine="420"/>
        <w:rPr>
          <w:kern w:val="2"/>
          <w:sz w:val="21"/>
          <w:szCs w:val="21"/>
        </w:rPr>
      </w:pPr>
      <w:r>
        <w:rPr>
          <w:kern w:val="2"/>
          <w:sz w:val="21"/>
          <w:szCs w:val="21"/>
        </w:rPr>
        <w:t>根据栽植品种的特性、树龄和实际环境条件进行疏花疏果，坐果率高品种可早疏，树龄小的要晚疏，环境条件差不宜疏。</w:t>
      </w:r>
      <w:r>
        <w:rPr>
          <w:rFonts w:hint="eastAsia"/>
          <w:kern w:val="2"/>
          <w:sz w:val="21"/>
          <w:szCs w:val="21"/>
        </w:rPr>
        <w:t>疏过密花和过密果，</w:t>
      </w:r>
      <w:r>
        <w:rPr>
          <w:kern w:val="2"/>
          <w:sz w:val="21"/>
          <w:szCs w:val="21"/>
        </w:rPr>
        <w:t>疏花要选畸形花、朝天花、无枝叶遮挡及晚开的花，疏果要选畸形果、双果、小果及密度较大的果。</w:t>
      </w:r>
    </w:p>
    <w:p w:rsidR="00CF37BF" w:rsidRDefault="00562902" w:rsidP="000218B1">
      <w:pPr>
        <w:pStyle w:val="1"/>
      </w:pPr>
      <w:r>
        <w:rPr>
          <w:rFonts w:hint="eastAsia"/>
        </w:rPr>
        <w:t>10  果实采收</w:t>
      </w:r>
    </w:p>
    <w:p w:rsidR="00CF37BF" w:rsidRDefault="00562902">
      <w:pPr>
        <w:ind w:firstLineChars="200" w:firstLine="420"/>
        <w:rPr>
          <w:kern w:val="2"/>
          <w:sz w:val="21"/>
          <w:szCs w:val="21"/>
        </w:rPr>
      </w:pPr>
      <w:r>
        <w:rPr>
          <w:kern w:val="2"/>
          <w:sz w:val="21"/>
          <w:szCs w:val="21"/>
        </w:rPr>
        <w:t>根据果实成熟度、用途和市场需求等因素确定采收时期。成熟期不一致的品种，应分期采收。采收时要轻拿轻放，防止挤压、碰撞、刺伤。果实应具备该品种固有形状、色泽、硬度等指标。果实分级方式很多，可按照果径大小、果实重量、外观品质、内在品质等指标分级。优等果或一级果，其果实表面应无刺伤、碰压伤、日灼、药害、</w:t>
      </w:r>
      <w:r>
        <w:rPr>
          <w:rFonts w:hint="eastAsia"/>
          <w:kern w:val="2"/>
          <w:sz w:val="21"/>
          <w:szCs w:val="21"/>
        </w:rPr>
        <w:t>开裂</w:t>
      </w:r>
      <w:r>
        <w:rPr>
          <w:kern w:val="2"/>
          <w:sz w:val="21"/>
          <w:szCs w:val="21"/>
        </w:rPr>
        <w:t>、病虫等损伤。</w:t>
      </w:r>
    </w:p>
    <w:p w:rsidR="00CF37BF" w:rsidRDefault="00562902" w:rsidP="000218B1">
      <w:pPr>
        <w:pStyle w:val="1"/>
      </w:pPr>
      <w:r>
        <w:rPr>
          <w:rFonts w:hint="eastAsia"/>
        </w:rPr>
        <w:t>11  生产废弃物处理</w:t>
      </w:r>
    </w:p>
    <w:p w:rsidR="00CF37BF" w:rsidRDefault="00562902">
      <w:pPr>
        <w:ind w:firstLineChars="200" w:firstLine="420"/>
        <w:rPr>
          <w:sz w:val="21"/>
          <w:szCs w:val="21"/>
        </w:rPr>
      </w:pPr>
      <w:r>
        <w:rPr>
          <w:sz w:val="21"/>
          <w:szCs w:val="21"/>
        </w:rPr>
        <w:t>对投入品包装物、秸秆等农业废弃物，采取循环利用的环保措施和方法集中处理，禁止焚烧、深埋。</w:t>
      </w:r>
    </w:p>
    <w:p w:rsidR="00CF37BF" w:rsidRDefault="00562902" w:rsidP="000218B1">
      <w:pPr>
        <w:pStyle w:val="1"/>
      </w:pPr>
      <w:r>
        <w:rPr>
          <w:rFonts w:hint="eastAsia"/>
        </w:rPr>
        <w:t>12  储藏与包装</w:t>
      </w:r>
    </w:p>
    <w:p w:rsidR="00CF37BF" w:rsidRDefault="00562902">
      <w:pPr>
        <w:ind w:firstLineChars="200" w:firstLine="420"/>
        <w:rPr>
          <w:rFonts w:eastAsia="黑体"/>
          <w:bCs/>
          <w:sz w:val="21"/>
          <w:szCs w:val="21"/>
        </w:rPr>
      </w:pPr>
      <w:r>
        <w:rPr>
          <w:kern w:val="2"/>
          <w:sz w:val="21"/>
          <w:szCs w:val="21"/>
        </w:rPr>
        <w:t>运输储藏应符合</w:t>
      </w:r>
      <w:r>
        <w:rPr>
          <w:kern w:val="2"/>
          <w:sz w:val="21"/>
          <w:szCs w:val="21"/>
        </w:rPr>
        <w:t>NY/T 1056</w:t>
      </w:r>
      <w:r>
        <w:rPr>
          <w:kern w:val="2"/>
          <w:sz w:val="21"/>
          <w:szCs w:val="21"/>
        </w:rPr>
        <w:t>的规定。运输工具在装果前应清理消毒，防止病虫害污染。应存放在绿色食品专用库房或者库房专区，储藏场所应清洁、卫生，远离污染源，有环境调控设备。储藏最佳温湿度为温度：</w:t>
      </w:r>
      <w:r>
        <w:rPr>
          <w:kern w:val="2"/>
          <w:sz w:val="21"/>
          <w:szCs w:val="21"/>
        </w:rPr>
        <w:t>0℃±0.5 ℃</w:t>
      </w:r>
      <w:r>
        <w:rPr>
          <w:kern w:val="2"/>
          <w:sz w:val="21"/>
          <w:szCs w:val="21"/>
        </w:rPr>
        <w:t>，湿度：</w:t>
      </w:r>
      <w:r>
        <w:rPr>
          <w:kern w:val="2"/>
          <w:sz w:val="21"/>
          <w:szCs w:val="21"/>
        </w:rPr>
        <w:t>85%</w:t>
      </w:r>
      <w:r>
        <w:rPr>
          <w:kern w:val="2"/>
          <w:sz w:val="21"/>
          <w:szCs w:val="21"/>
        </w:rPr>
        <w:t>～</w:t>
      </w:r>
      <w:r>
        <w:rPr>
          <w:kern w:val="2"/>
          <w:sz w:val="21"/>
          <w:szCs w:val="21"/>
        </w:rPr>
        <w:t>90%</w:t>
      </w:r>
      <w:r>
        <w:rPr>
          <w:kern w:val="2"/>
          <w:sz w:val="21"/>
          <w:szCs w:val="21"/>
        </w:rPr>
        <w:t>。</w:t>
      </w:r>
      <w:r>
        <w:rPr>
          <w:sz w:val="21"/>
          <w:szCs w:val="21"/>
        </w:rPr>
        <w:t>包装应符合</w:t>
      </w:r>
      <w:r>
        <w:rPr>
          <w:sz w:val="21"/>
          <w:szCs w:val="21"/>
        </w:rPr>
        <w:t>NY/T 658</w:t>
      </w:r>
      <w:r>
        <w:rPr>
          <w:sz w:val="21"/>
          <w:szCs w:val="21"/>
        </w:rPr>
        <w:t>的规定。</w:t>
      </w:r>
    </w:p>
    <w:p w:rsidR="00CF37BF" w:rsidRDefault="00562902" w:rsidP="000218B1">
      <w:pPr>
        <w:pStyle w:val="1"/>
      </w:pPr>
      <w:r>
        <w:rPr>
          <w:rFonts w:hint="eastAsia"/>
        </w:rPr>
        <w:t xml:space="preserve">13 </w:t>
      </w:r>
      <w:bookmarkStart w:id="15" w:name="_Hlk147693075"/>
      <w:r>
        <w:rPr>
          <w:rFonts w:hint="eastAsia"/>
        </w:rPr>
        <w:t>生产档案管理</w:t>
      </w:r>
      <w:bookmarkEnd w:id="15"/>
    </w:p>
    <w:p w:rsidR="00CF37BF" w:rsidRDefault="00562902">
      <w:pPr>
        <w:ind w:firstLineChars="200" w:firstLine="420"/>
        <w:rPr>
          <w:sz w:val="21"/>
          <w:szCs w:val="21"/>
        </w:rPr>
      </w:pPr>
      <w:r>
        <w:rPr>
          <w:sz w:val="21"/>
          <w:szCs w:val="21"/>
        </w:rPr>
        <w:t>生产全过程，应建立完整的生产档案，重点记录产地环境条件、生产技术、肥水管理、病虫害的发生和防治、采收及采后处理等情况，记录应保存</w:t>
      </w:r>
      <w:r>
        <w:rPr>
          <w:sz w:val="21"/>
          <w:szCs w:val="21"/>
        </w:rPr>
        <w:t>3</w:t>
      </w:r>
      <w:r>
        <w:rPr>
          <w:sz w:val="21"/>
          <w:szCs w:val="21"/>
        </w:rPr>
        <w:t>年以上。做到农产品生产可追溯。</w:t>
      </w:r>
    </w:p>
    <w:p w:rsidR="00CF37BF" w:rsidRDefault="00CF37BF">
      <w:pPr>
        <w:autoSpaceDE w:val="0"/>
        <w:autoSpaceDN w:val="0"/>
        <w:jc w:val="both"/>
        <w:rPr>
          <w:rFonts w:eastAsia="黑体"/>
          <w:bCs/>
          <w:sz w:val="21"/>
          <w:szCs w:val="21"/>
        </w:rPr>
      </w:pPr>
    </w:p>
    <w:p w:rsidR="000218B1" w:rsidRDefault="000218B1">
      <w:pPr>
        <w:autoSpaceDE w:val="0"/>
        <w:autoSpaceDN w:val="0"/>
        <w:jc w:val="center"/>
        <w:rPr>
          <w:rFonts w:eastAsia="黑体"/>
          <w:bCs/>
          <w:sz w:val="21"/>
          <w:szCs w:val="21"/>
        </w:rPr>
        <w:sectPr w:rsidR="000218B1" w:rsidSect="00BE5FB5">
          <w:headerReference w:type="even" r:id="rId14"/>
          <w:headerReference w:type="default" r:id="rId15"/>
          <w:footerReference w:type="default" r:id="rId16"/>
          <w:headerReference w:type="first" r:id="rId17"/>
          <w:footerReference w:type="first" r:id="rId18"/>
          <w:pgSz w:w="11906" w:h="16838"/>
          <w:pgMar w:top="1440" w:right="1797" w:bottom="1440" w:left="1797" w:header="851" w:footer="992" w:gutter="0"/>
          <w:pgNumType w:start="1"/>
          <w:cols w:space="720"/>
          <w:docGrid w:type="lines" w:linePitch="326"/>
        </w:sectPr>
      </w:pPr>
    </w:p>
    <w:p w:rsidR="00CF37BF" w:rsidRDefault="00CF37BF">
      <w:pPr>
        <w:autoSpaceDE w:val="0"/>
        <w:autoSpaceDN w:val="0"/>
        <w:jc w:val="center"/>
        <w:rPr>
          <w:rFonts w:eastAsia="黑体"/>
          <w:bCs/>
          <w:sz w:val="21"/>
          <w:szCs w:val="21"/>
        </w:rPr>
      </w:pPr>
    </w:p>
    <w:p w:rsidR="00CF37BF" w:rsidRDefault="00562902" w:rsidP="000218B1">
      <w:pPr>
        <w:pStyle w:val="1"/>
        <w:jc w:val="center"/>
      </w:pPr>
      <w:r>
        <w:t>附  录  A</w:t>
      </w:r>
    </w:p>
    <w:p w:rsidR="00CF37BF" w:rsidRDefault="00562902">
      <w:pPr>
        <w:jc w:val="center"/>
        <w:rPr>
          <w:rFonts w:eastAsia="黑体"/>
          <w:bCs/>
          <w:sz w:val="21"/>
          <w:szCs w:val="21"/>
        </w:rPr>
      </w:pPr>
      <w:r>
        <w:rPr>
          <w:rFonts w:eastAsia="黑体"/>
          <w:bCs/>
          <w:sz w:val="21"/>
          <w:szCs w:val="21"/>
        </w:rPr>
        <w:t>（资料性附录）</w:t>
      </w:r>
    </w:p>
    <w:p w:rsidR="00CF37BF" w:rsidRDefault="00562902">
      <w:pPr>
        <w:jc w:val="center"/>
        <w:rPr>
          <w:rFonts w:eastAsia="黑体"/>
          <w:bCs/>
          <w:sz w:val="21"/>
          <w:szCs w:val="21"/>
        </w:rPr>
      </w:pPr>
      <w:r>
        <w:rPr>
          <w:rFonts w:eastAsia="黑体"/>
          <w:bCs/>
          <w:sz w:val="21"/>
          <w:szCs w:val="21"/>
        </w:rPr>
        <w:t>东北地区</w:t>
      </w:r>
      <w:r>
        <w:rPr>
          <w:rFonts w:eastAsia="黑体"/>
          <w:bCs/>
          <w:sz w:val="21"/>
          <w:szCs w:val="21"/>
        </w:rPr>
        <w:t xml:space="preserve">  </w:t>
      </w:r>
      <w:r>
        <w:rPr>
          <w:rFonts w:eastAsia="黑体"/>
          <w:bCs/>
          <w:sz w:val="21"/>
          <w:szCs w:val="21"/>
        </w:rPr>
        <w:t>绿色食品李子生产主要病虫害防治推荐农药使用方案</w:t>
      </w:r>
    </w:p>
    <w:p w:rsidR="00DA2895" w:rsidRDefault="00DA2895">
      <w:pPr>
        <w:jc w:val="center"/>
        <w:rPr>
          <w:rFonts w:eastAsia="黑体"/>
          <w:bCs/>
          <w:sz w:val="21"/>
          <w:szCs w:val="21"/>
        </w:rPr>
      </w:pPr>
    </w:p>
    <w:p w:rsidR="00DA2895" w:rsidRPr="001A1E35" w:rsidRDefault="00DA2895" w:rsidP="001A1E35">
      <w:pPr>
        <w:ind w:firstLineChars="200" w:firstLine="420"/>
        <w:rPr>
          <w:rFonts w:asciiTheme="minorEastAsia" w:eastAsiaTheme="minorEastAsia" w:hAnsiTheme="minorEastAsia"/>
          <w:bCs/>
          <w:sz w:val="21"/>
          <w:szCs w:val="21"/>
        </w:rPr>
      </w:pPr>
      <w:r w:rsidRPr="001A1E35">
        <w:rPr>
          <w:rFonts w:asciiTheme="minorEastAsia" w:eastAsiaTheme="minorEastAsia" w:hAnsiTheme="minorEastAsia" w:hint="eastAsia"/>
          <w:bCs/>
          <w:sz w:val="21"/>
          <w:szCs w:val="21"/>
        </w:rPr>
        <w:t>东北地区</w:t>
      </w:r>
      <w:r w:rsidRPr="001A1E35">
        <w:rPr>
          <w:rFonts w:asciiTheme="minorEastAsia" w:eastAsiaTheme="minorEastAsia" w:hAnsiTheme="minorEastAsia"/>
          <w:bCs/>
          <w:sz w:val="21"/>
          <w:szCs w:val="21"/>
        </w:rPr>
        <w:t xml:space="preserve">  </w:t>
      </w:r>
      <w:r w:rsidRPr="001A1E35">
        <w:rPr>
          <w:rFonts w:asciiTheme="minorEastAsia" w:eastAsiaTheme="minorEastAsia" w:hAnsiTheme="minorEastAsia" w:hint="eastAsia"/>
          <w:bCs/>
          <w:sz w:val="21"/>
          <w:szCs w:val="21"/>
        </w:rPr>
        <w:t>绿色食品李子生产主要病虫害防治推荐农药使用方案见表A.1。</w:t>
      </w:r>
    </w:p>
    <w:p w:rsidR="00DA2895" w:rsidRDefault="00DA2895">
      <w:pPr>
        <w:jc w:val="center"/>
        <w:rPr>
          <w:rFonts w:eastAsia="黑体"/>
          <w:b/>
          <w:bCs/>
          <w:sz w:val="21"/>
          <w:szCs w:val="21"/>
        </w:rPr>
      </w:pPr>
      <w:r>
        <w:rPr>
          <w:rFonts w:eastAsia="黑体" w:hint="eastAsia"/>
          <w:bCs/>
          <w:sz w:val="21"/>
          <w:szCs w:val="21"/>
        </w:rPr>
        <w:t>表</w:t>
      </w:r>
      <w:r>
        <w:rPr>
          <w:rFonts w:eastAsia="黑体" w:hint="eastAsia"/>
          <w:bCs/>
          <w:sz w:val="21"/>
          <w:szCs w:val="21"/>
        </w:rPr>
        <w:t xml:space="preserve">A.1 </w:t>
      </w:r>
      <w:r>
        <w:rPr>
          <w:rFonts w:eastAsia="黑体"/>
          <w:bCs/>
          <w:sz w:val="21"/>
          <w:szCs w:val="21"/>
        </w:rPr>
        <w:t>东北地区</w:t>
      </w:r>
      <w:r>
        <w:rPr>
          <w:rFonts w:eastAsia="黑体"/>
          <w:bCs/>
          <w:sz w:val="21"/>
          <w:szCs w:val="21"/>
        </w:rPr>
        <w:t xml:space="preserve">  </w:t>
      </w:r>
      <w:r>
        <w:rPr>
          <w:rFonts w:eastAsia="黑体"/>
          <w:bCs/>
          <w:sz w:val="21"/>
          <w:szCs w:val="21"/>
        </w:rPr>
        <w:t>绿色食品李子生产主要病虫害防治推荐农药使用方案</w:t>
      </w:r>
    </w:p>
    <w:tbl>
      <w:tblPr>
        <w:tblW w:w="85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701"/>
        <w:gridCol w:w="2202"/>
        <w:gridCol w:w="1514"/>
        <w:gridCol w:w="1035"/>
        <w:gridCol w:w="993"/>
      </w:tblGrid>
      <w:tr w:rsidR="00CF37BF" w:rsidTr="000218B1">
        <w:trPr>
          <w:trHeight w:val="494"/>
          <w:jc w:val="center"/>
        </w:trPr>
        <w:tc>
          <w:tcPr>
            <w:tcW w:w="1134" w:type="dxa"/>
            <w:vAlign w:val="center"/>
          </w:tcPr>
          <w:p w:rsidR="00CF37BF" w:rsidRPr="006218EC" w:rsidRDefault="00562902">
            <w:pPr>
              <w:pStyle w:val="a8"/>
              <w:ind w:firstLineChars="0" w:firstLine="0"/>
              <w:jc w:val="center"/>
              <w:rPr>
                <w:rFonts w:ascii="Times New Roman"/>
                <w:b/>
                <w:kern w:val="2"/>
                <w:sz w:val="18"/>
                <w:szCs w:val="18"/>
              </w:rPr>
            </w:pPr>
            <w:r w:rsidRPr="006218EC">
              <w:rPr>
                <w:rFonts w:ascii="Times New Roman"/>
                <w:b/>
                <w:kern w:val="2"/>
                <w:sz w:val="18"/>
                <w:szCs w:val="18"/>
              </w:rPr>
              <w:t>防治对象</w:t>
            </w:r>
          </w:p>
        </w:tc>
        <w:tc>
          <w:tcPr>
            <w:tcW w:w="1701" w:type="dxa"/>
            <w:vAlign w:val="center"/>
          </w:tcPr>
          <w:p w:rsidR="00CF37BF" w:rsidRPr="006218EC" w:rsidRDefault="00562902">
            <w:pPr>
              <w:pStyle w:val="a8"/>
              <w:ind w:firstLineChars="0" w:firstLine="0"/>
              <w:jc w:val="center"/>
              <w:rPr>
                <w:rFonts w:ascii="Times New Roman"/>
                <w:b/>
                <w:kern w:val="2"/>
                <w:sz w:val="18"/>
                <w:szCs w:val="18"/>
              </w:rPr>
            </w:pPr>
            <w:r w:rsidRPr="006218EC">
              <w:rPr>
                <w:rFonts w:ascii="Times New Roman"/>
                <w:b/>
                <w:kern w:val="2"/>
                <w:sz w:val="18"/>
                <w:szCs w:val="18"/>
              </w:rPr>
              <w:t>防治时期</w:t>
            </w:r>
          </w:p>
        </w:tc>
        <w:tc>
          <w:tcPr>
            <w:tcW w:w="2202" w:type="dxa"/>
            <w:vAlign w:val="center"/>
          </w:tcPr>
          <w:p w:rsidR="00CF37BF" w:rsidRPr="006218EC" w:rsidRDefault="00562902">
            <w:pPr>
              <w:pStyle w:val="a8"/>
              <w:ind w:firstLineChars="0" w:firstLine="0"/>
              <w:jc w:val="center"/>
              <w:rPr>
                <w:rFonts w:ascii="Times New Roman"/>
                <w:b/>
                <w:kern w:val="2"/>
                <w:sz w:val="18"/>
                <w:szCs w:val="18"/>
              </w:rPr>
            </w:pPr>
            <w:r w:rsidRPr="006218EC">
              <w:rPr>
                <w:rFonts w:ascii="Times New Roman"/>
                <w:b/>
                <w:kern w:val="2"/>
                <w:sz w:val="18"/>
                <w:szCs w:val="18"/>
              </w:rPr>
              <w:t>农药名称</w:t>
            </w:r>
          </w:p>
        </w:tc>
        <w:tc>
          <w:tcPr>
            <w:tcW w:w="1514" w:type="dxa"/>
            <w:vAlign w:val="center"/>
          </w:tcPr>
          <w:p w:rsidR="00CF37BF" w:rsidRPr="006218EC" w:rsidRDefault="00562902">
            <w:pPr>
              <w:pStyle w:val="a8"/>
              <w:ind w:firstLineChars="0" w:firstLine="0"/>
              <w:jc w:val="center"/>
              <w:rPr>
                <w:rFonts w:ascii="Times New Roman"/>
                <w:b/>
                <w:kern w:val="2"/>
                <w:sz w:val="18"/>
                <w:szCs w:val="18"/>
              </w:rPr>
            </w:pPr>
            <w:r w:rsidRPr="006218EC">
              <w:rPr>
                <w:rFonts w:ascii="Times New Roman"/>
                <w:b/>
                <w:kern w:val="2"/>
                <w:sz w:val="18"/>
                <w:szCs w:val="18"/>
              </w:rPr>
              <w:t>使用剂量</w:t>
            </w:r>
          </w:p>
        </w:tc>
        <w:tc>
          <w:tcPr>
            <w:tcW w:w="1035" w:type="dxa"/>
            <w:vAlign w:val="center"/>
          </w:tcPr>
          <w:p w:rsidR="00CF37BF" w:rsidRPr="006218EC" w:rsidRDefault="00562902">
            <w:pPr>
              <w:pStyle w:val="a8"/>
              <w:ind w:firstLineChars="0" w:firstLine="0"/>
              <w:jc w:val="center"/>
              <w:rPr>
                <w:rFonts w:ascii="Times New Roman"/>
                <w:b/>
                <w:kern w:val="2"/>
                <w:sz w:val="18"/>
                <w:szCs w:val="18"/>
              </w:rPr>
            </w:pPr>
            <w:r w:rsidRPr="006218EC">
              <w:rPr>
                <w:rFonts w:ascii="Times New Roman"/>
                <w:b/>
                <w:kern w:val="2"/>
                <w:sz w:val="18"/>
                <w:szCs w:val="18"/>
              </w:rPr>
              <w:t>施药方法</w:t>
            </w:r>
          </w:p>
        </w:tc>
        <w:tc>
          <w:tcPr>
            <w:tcW w:w="993" w:type="dxa"/>
            <w:vAlign w:val="center"/>
          </w:tcPr>
          <w:p w:rsidR="00CF37BF" w:rsidRPr="006218EC" w:rsidRDefault="00562902">
            <w:pPr>
              <w:pStyle w:val="a8"/>
              <w:ind w:firstLineChars="0" w:firstLine="0"/>
              <w:jc w:val="center"/>
              <w:rPr>
                <w:rFonts w:ascii="Times New Roman"/>
                <w:b/>
                <w:kern w:val="2"/>
                <w:sz w:val="18"/>
                <w:szCs w:val="18"/>
              </w:rPr>
            </w:pPr>
            <w:r w:rsidRPr="006218EC">
              <w:rPr>
                <w:rFonts w:ascii="Times New Roman"/>
                <w:b/>
                <w:kern w:val="2"/>
                <w:sz w:val="18"/>
                <w:szCs w:val="18"/>
              </w:rPr>
              <w:t>安全间隔期（天）</w:t>
            </w:r>
          </w:p>
        </w:tc>
      </w:tr>
      <w:tr w:rsidR="00CF37BF" w:rsidTr="000218B1">
        <w:trPr>
          <w:trHeight w:val="409"/>
          <w:jc w:val="center"/>
        </w:trPr>
        <w:tc>
          <w:tcPr>
            <w:tcW w:w="1134" w:type="dxa"/>
            <w:shd w:val="clear" w:color="auto" w:fill="auto"/>
            <w:vAlign w:val="center"/>
          </w:tcPr>
          <w:p w:rsidR="00CF37BF" w:rsidRDefault="00562902">
            <w:pPr>
              <w:pStyle w:val="a8"/>
              <w:ind w:firstLineChars="0" w:firstLine="0"/>
              <w:jc w:val="center"/>
              <w:rPr>
                <w:rFonts w:ascii="Times New Roman"/>
                <w:kern w:val="2"/>
                <w:sz w:val="18"/>
                <w:szCs w:val="18"/>
              </w:rPr>
            </w:pPr>
            <w:r>
              <w:rPr>
                <w:rFonts w:ascii="Times New Roman"/>
                <w:kern w:val="2"/>
                <w:sz w:val="18"/>
                <w:szCs w:val="18"/>
              </w:rPr>
              <w:t>食心虫</w:t>
            </w:r>
          </w:p>
        </w:tc>
        <w:tc>
          <w:tcPr>
            <w:tcW w:w="1701" w:type="dxa"/>
            <w:shd w:val="clear" w:color="auto" w:fill="auto"/>
            <w:vAlign w:val="center"/>
          </w:tcPr>
          <w:p w:rsidR="00CF37BF" w:rsidRDefault="00562902">
            <w:pPr>
              <w:pStyle w:val="a8"/>
              <w:ind w:firstLineChars="0" w:firstLine="0"/>
              <w:jc w:val="center"/>
              <w:rPr>
                <w:rFonts w:ascii="Times New Roman"/>
                <w:kern w:val="2"/>
                <w:sz w:val="18"/>
                <w:szCs w:val="18"/>
              </w:rPr>
            </w:pPr>
            <w:r>
              <w:rPr>
                <w:rFonts w:ascii="Times New Roman"/>
                <w:kern w:val="2"/>
                <w:sz w:val="18"/>
                <w:szCs w:val="18"/>
              </w:rPr>
              <w:t>成虫产卵至孵化高峰期</w:t>
            </w:r>
          </w:p>
        </w:tc>
        <w:tc>
          <w:tcPr>
            <w:tcW w:w="2202" w:type="dxa"/>
            <w:shd w:val="clear" w:color="auto" w:fill="auto"/>
            <w:vAlign w:val="center"/>
          </w:tcPr>
          <w:p w:rsidR="00CF37BF" w:rsidRDefault="00562902">
            <w:pPr>
              <w:pStyle w:val="a8"/>
              <w:ind w:firstLineChars="0" w:firstLine="0"/>
              <w:jc w:val="center"/>
              <w:rPr>
                <w:rFonts w:ascii="Times New Roman"/>
                <w:kern w:val="2"/>
                <w:sz w:val="18"/>
                <w:szCs w:val="18"/>
              </w:rPr>
            </w:pPr>
            <w:r>
              <w:rPr>
                <w:rFonts w:ascii="Times New Roman"/>
                <w:kern w:val="2"/>
                <w:sz w:val="18"/>
                <w:szCs w:val="18"/>
              </w:rPr>
              <w:t>5%</w:t>
            </w:r>
            <w:r>
              <w:rPr>
                <w:rFonts w:ascii="Times New Roman"/>
                <w:kern w:val="2"/>
                <w:sz w:val="18"/>
                <w:szCs w:val="18"/>
              </w:rPr>
              <w:t>甲氨基阿维菌素苯甲酸盐微乳剂</w:t>
            </w:r>
          </w:p>
        </w:tc>
        <w:tc>
          <w:tcPr>
            <w:tcW w:w="1514" w:type="dxa"/>
            <w:shd w:val="clear" w:color="auto" w:fill="auto"/>
            <w:vAlign w:val="center"/>
          </w:tcPr>
          <w:p w:rsidR="00CF37BF" w:rsidRDefault="00562902">
            <w:pPr>
              <w:pStyle w:val="a8"/>
              <w:ind w:firstLineChars="0" w:firstLine="0"/>
              <w:jc w:val="center"/>
              <w:rPr>
                <w:rFonts w:ascii="Times New Roman"/>
                <w:kern w:val="2"/>
                <w:sz w:val="18"/>
                <w:szCs w:val="18"/>
              </w:rPr>
            </w:pPr>
            <w:r>
              <w:rPr>
                <w:rFonts w:ascii="Times New Roman"/>
                <w:kern w:val="2"/>
                <w:sz w:val="18"/>
                <w:szCs w:val="18"/>
              </w:rPr>
              <w:t>5000</w:t>
            </w:r>
            <w:r>
              <w:rPr>
                <w:rFonts w:ascii="Times New Roman"/>
                <w:kern w:val="2"/>
                <w:sz w:val="18"/>
                <w:szCs w:val="18"/>
              </w:rPr>
              <w:t>～</w:t>
            </w:r>
            <w:r>
              <w:rPr>
                <w:rFonts w:ascii="Times New Roman"/>
                <w:kern w:val="2"/>
                <w:sz w:val="18"/>
                <w:szCs w:val="18"/>
              </w:rPr>
              <w:t>7</w:t>
            </w:r>
            <w:r w:rsidR="00DA2895">
              <w:rPr>
                <w:rFonts w:ascii="Times New Roman"/>
                <w:kern w:val="2"/>
                <w:sz w:val="18"/>
                <w:szCs w:val="18"/>
              </w:rPr>
              <w:t>5</w:t>
            </w:r>
            <w:r>
              <w:rPr>
                <w:rFonts w:ascii="Times New Roman"/>
                <w:kern w:val="2"/>
                <w:sz w:val="18"/>
                <w:szCs w:val="18"/>
              </w:rPr>
              <w:t>00</w:t>
            </w:r>
            <w:r>
              <w:rPr>
                <w:rFonts w:ascii="Times New Roman"/>
                <w:kern w:val="2"/>
                <w:sz w:val="18"/>
                <w:szCs w:val="18"/>
              </w:rPr>
              <w:t>倍液</w:t>
            </w:r>
          </w:p>
        </w:tc>
        <w:tc>
          <w:tcPr>
            <w:tcW w:w="1035" w:type="dxa"/>
            <w:shd w:val="clear" w:color="auto" w:fill="auto"/>
            <w:vAlign w:val="center"/>
          </w:tcPr>
          <w:p w:rsidR="00CF37BF" w:rsidRDefault="00562902">
            <w:pPr>
              <w:pStyle w:val="a8"/>
              <w:ind w:firstLineChars="0" w:firstLine="0"/>
              <w:jc w:val="center"/>
              <w:rPr>
                <w:rFonts w:ascii="Times New Roman"/>
                <w:kern w:val="2"/>
                <w:sz w:val="18"/>
                <w:szCs w:val="18"/>
              </w:rPr>
            </w:pPr>
            <w:r>
              <w:rPr>
                <w:rFonts w:ascii="Times New Roman"/>
                <w:kern w:val="2"/>
                <w:sz w:val="18"/>
                <w:szCs w:val="18"/>
              </w:rPr>
              <w:t>喷雾</w:t>
            </w:r>
          </w:p>
        </w:tc>
        <w:tc>
          <w:tcPr>
            <w:tcW w:w="993" w:type="dxa"/>
            <w:shd w:val="clear" w:color="auto" w:fill="auto"/>
            <w:vAlign w:val="center"/>
          </w:tcPr>
          <w:p w:rsidR="00CF37BF" w:rsidRDefault="00562902">
            <w:pPr>
              <w:pStyle w:val="a8"/>
              <w:ind w:firstLineChars="0" w:firstLine="0"/>
              <w:jc w:val="center"/>
              <w:rPr>
                <w:rFonts w:ascii="Times New Roman"/>
                <w:kern w:val="2"/>
                <w:sz w:val="18"/>
                <w:szCs w:val="18"/>
              </w:rPr>
            </w:pPr>
            <w:r>
              <w:rPr>
                <w:rFonts w:ascii="Times New Roman"/>
                <w:kern w:val="2"/>
                <w:sz w:val="18"/>
                <w:szCs w:val="18"/>
              </w:rPr>
              <w:t>5</w:t>
            </w:r>
          </w:p>
        </w:tc>
      </w:tr>
      <w:tr w:rsidR="00CF37BF" w:rsidTr="000218B1">
        <w:trPr>
          <w:trHeight w:val="409"/>
          <w:jc w:val="center"/>
        </w:trPr>
        <w:tc>
          <w:tcPr>
            <w:tcW w:w="1134" w:type="dxa"/>
            <w:shd w:val="clear" w:color="auto" w:fill="auto"/>
            <w:vAlign w:val="center"/>
          </w:tcPr>
          <w:p w:rsidR="00CF37BF" w:rsidRDefault="00562902">
            <w:pPr>
              <w:pStyle w:val="a8"/>
              <w:ind w:firstLineChars="0" w:firstLine="0"/>
              <w:jc w:val="center"/>
              <w:rPr>
                <w:rFonts w:ascii="Times New Roman"/>
                <w:kern w:val="2"/>
                <w:sz w:val="18"/>
                <w:szCs w:val="18"/>
              </w:rPr>
            </w:pPr>
            <w:r>
              <w:rPr>
                <w:rFonts w:ascii="Times New Roman"/>
                <w:kern w:val="2"/>
                <w:sz w:val="18"/>
                <w:szCs w:val="18"/>
              </w:rPr>
              <w:t>李子红点病</w:t>
            </w:r>
          </w:p>
        </w:tc>
        <w:tc>
          <w:tcPr>
            <w:tcW w:w="1701" w:type="dxa"/>
            <w:shd w:val="clear" w:color="auto" w:fill="auto"/>
            <w:vAlign w:val="center"/>
          </w:tcPr>
          <w:p w:rsidR="00CF37BF" w:rsidRDefault="00562902">
            <w:pPr>
              <w:pStyle w:val="a8"/>
              <w:ind w:firstLineChars="0" w:firstLine="0"/>
              <w:jc w:val="center"/>
              <w:rPr>
                <w:rFonts w:ascii="Times New Roman"/>
                <w:kern w:val="2"/>
                <w:sz w:val="18"/>
                <w:szCs w:val="18"/>
              </w:rPr>
            </w:pPr>
            <w:r>
              <w:rPr>
                <w:rFonts w:ascii="Times New Roman"/>
                <w:kern w:val="2"/>
                <w:sz w:val="18"/>
                <w:szCs w:val="18"/>
              </w:rPr>
              <w:t>发病初期</w:t>
            </w:r>
          </w:p>
        </w:tc>
        <w:tc>
          <w:tcPr>
            <w:tcW w:w="2202" w:type="dxa"/>
            <w:shd w:val="clear" w:color="auto" w:fill="auto"/>
            <w:vAlign w:val="center"/>
          </w:tcPr>
          <w:p w:rsidR="00CF37BF" w:rsidRDefault="00562902">
            <w:pPr>
              <w:pStyle w:val="a8"/>
              <w:ind w:firstLineChars="0" w:firstLine="0"/>
              <w:jc w:val="center"/>
              <w:rPr>
                <w:rFonts w:ascii="Times New Roman"/>
                <w:kern w:val="2"/>
                <w:sz w:val="18"/>
                <w:szCs w:val="18"/>
              </w:rPr>
            </w:pPr>
            <w:r>
              <w:rPr>
                <w:rFonts w:ascii="Times New Roman"/>
                <w:kern w:val="2"/>
                <w:sz w:val="18"/>
                <w:szCs w:val="18"/>
              </w:rPr>
              <w:t>25%</w:t>
            </w:r>
            <w:r>
              <w:rPr>
                <w:rFonts w:ascii="Times New Roman"/>
                <w:kern w:val="2"/>
                <w:sz w:val="18"/>
                <w:szCs w:val="18"/>
              </w:rPr>
              <w:t>多菌灵可湿性粉剂</w:t>
            </w:r>
          </w:p>
        </w:tc>
        <w:tc>
          <w:tcPr>
            <w:tcW w:w="1514" w:type="dxa"/>
            <w:shd w:val="clear" w:color="auto" w:fill="auto"/>
            <w:vAlign w:val="center"/>
          </w:tcPr>
          <w:p w:rsidR="00CF37BF" w:rsidRDefault="00562902">
            <w:pPr>
              <w:pStyle w:val="a8"/>
              <w:ind w:firstLineChars="0" w:firstLine="0"/>
              <w:jc w:val="center"/>
              <w:rPr>
                <w:rFonts w:ascii="Times New Roman"/>
                <w:kern w:val="2"/>
                <w:sz w:val="18"/>
                <w:szCs w:val="18"/>
              </w:rPr>
            </w:pPr>
            <w:r>
              <w:rPr>
                <w:rFonts w:ascii="Times New Roman"/>
                <w:kern w:val="2"/>
                <w:sz w:val="18"/>
                <w:szCs w:val="18"/>
              </w:rPr>
              <w:t>2500</w:t>
            </w:r>
            <w:r>
              <w:rPr>
                <w:rFonts w:ascii="Times New Roman"/>
                <w:kern w:val="2"/>
                <w:sz w:val="18"/>
                <w:szCs w:val="18"/>
              </w:rPr>
              <w:t>～</w:t>
            </w:r>
            <w:r>
              <w:rPr>
                <w:rFonts w:ascii="Times New Roman"/>
                <w:kern w:val="2"/>
                <w:sz w:val="18"/>
                <w:szCs w:val="18"/>
              </w:rPr>
              <w:t>5000</w:t>
            </w:r>
            <w:r>
              <w:rPr>
                <w:rFonts w:ascii="Times New Roman"/>
                <w:kern w:val="2"/>
                <w:sz w:val="18"/>
                <w:szCs w:val="18"/>
              </w:rPr>
              <w:t>倍液</w:t>
            </w:r>
          </w:p>
        </w:tc>
        <w:tc>
          <w:tcPr>
            <w:tcW w:w="1035" w:type="dxa"/>
            <w:shd w:val="clear" w:color="auto" w:fill="auto"/>
            <w:vAlign w:val="center"/>
          </w:tcPr>
          <w:p w:rsidR="00CF37BF" w:rsidRDefault="00562902">
            <w:pPr>
              <w:pStyle w:val="a8"/>
              <w:ind w:firstLineChars="0" w:firstLine="0"/>
              <w:jc w:val="center"/>
              <w:rPr>
                <w:rFonts w:ascii="Times New Roman"/>
                <w:kern w:val="2"/>
                <w:sz w:val="18"/>
                <w:szCs w:val="18"/>
              </w:rPr>
            </w:pPr>
            <w:r>
              <w:rPr>
                <w:rFonts w:ascii="Times New Roman"/>
                <w:kern w:val="2"/>
                <w:sz w:val="18"/>
                <w:szCs w:val="18"/>
              </w:rPr>
              <w:t>喷雾</w:t>
            </w:r>
          </w:p>
        </w:tc>
        <w:tc>
          <w:tcPr>
            <w:tcW w:w="993" w:type="dxa"/>
            <w:shd w:val="clear" w:color="auto" w:fill="auto"/>
            <w:vAlign w:val="center"/>
          </w:tcPr>
          <w:p w:rsidR="00CF37BF" w:rsidRDefault="00562902">
            <w:pPr>
              <w:pStyle w:val="a8"/>
              <w:ind w:firstLineChars="0" w:firstLine="0"/>
              <w:jc w:val="center"/>
              <w:rPr>
                <w:rFonts w:ascii="Times New Roman"/>
                <w:kern w:val="2"/>
                <w:sz w:val="18"/>
                <w:szCs w:val="18"/>
              </w:rPr>
            </w:pPr>
            <w:r>
              <w:rPr>
                <w:rFonts w:ascii="Times New Roman"/>
                <w:kern w:val="2"/>
                <w:sz w:val="18"/>
                <w:szCs w:val="18"/>
              </w:rPr>
              <w:t>28</w:t>
            </w:r>
          </w:p>
        </w:tc>
      </w:tr>
      <w:tr w:rsidR="00CF37BF" w:rsidTr="000218B1">
        <w:trPr>
          <w:trHeight w:val="409"/>
          <w:jc w:val="center"/>
        </w:trPr>
        <w:tc>
          <w:tcPr>
            <w:tcW w:w="1134" w:type="dxa"/>
            <w:vAlign w:val="center"/>
          </w:tcPr>
          <w:p w:rsidR="00CF37BF" w:rsidRDefault="00562902">
            <w:pPr>
              <w:pStyle w:val="a8"/>
              <w:ind w:firstLineChars="0" w:firstLine="0"/>
              <w:jc w:val="center"/>
              <w:rPr>
                <w:rFonts w:ascii="Times New Roman"/>
                <w:kern w:val="2"/>
                <w:sz w:val="18"/>
                <w:szCs w:val="18"/>
              </w:rPr>
            </w:pPr>
            <w:r>
              <w:rPr>
                <w:rFonts w:ascii="Times New Roman"/>
                <w:kern w:val="2"/>
                <w:sz w:val="18"/>
                <w:szCs w:val="18"/>
              </w:rPr>
              <w:t>炭疽病</w:t>
            </w:r>
          </w:p>
        </w:tc>
        <w:tc>
          <w:tcPr>
            <w:tcW w:w="1701" w:type="dxa"/>
            <w:vAlign w:val="center"/>
          </w:tcPr>
          <w:p w:rsidR="00CF37BF" w:rsidRDefault="00562902">
            <w:pPr>
              <w:pStyle w:val="a8"/>
              <w:ind w:firstLineChars="0" w:firstLine="0"/>
              <w:jc w:val="center"/>
              <w:rPr>
                <w:rFonts w:ascii="Times New Roman"/>
                <w:kern w:val="2"/>
                <w:sz w:val="18"/>
                <w:szCs w:val="18"/>
              </w:rPr>
            </w:pPr>
            <w:r>
              <w:rPr>
                <w:rFonts w:ascii="Times New Roman"/>
                <w:kern w:val="2"/>
                <w:sz w:val="18"/>
                <w:szCs w:val="18"/>
              </w:rPr>
              <w:t>发生前或发病初期</w:t>
            </w:r>
          </w:p>
        </w:tc>
        <w:tc>
          <w:tcPr>
            <w:tcW w:w="2202" w:type="dxa"/>
            <w:vAlign w:val="center"/>
          </w:tcPr>
          <w:p w:rsidR="00CF37BF" w:rsidRDefault="00562902">
            <w:pPr>
              <w:pStyle w:val="a8"/>
              <w:ind w:firstLineChars="0" w:firstLine="0"/>
              <w:jc w:val="center"/>
              <w:rPr>
                <w:rFonts w:ascii="Times New Roman"/>
                <w:kern w:val="2"/>
                <w:sz w:val="18"/>
                <w:szCs w:val="18"/>
              </w:rPr>
            </w:pPr>
            <w:r>
              <w:rPr>
                <w:rFonts w:ascii="Times New Roman" w:hint="eastAsia"/>
                <w:kern w:val="2"/>
                <w:sz w:val="18"/>
                <w:szCs w:val="18"/>
              </w:rPr>
              <w:t>40%</w:t>
            </w:r>
            <w:r>
              <w:rPr>
                <w:rFonts w:ascii="Times New Roman"/>
                <w:kern w:val="2"/>
                <w:sz w:val="18"/>
                <w:szCs w:val="18"/>
              </w:rPr>
              <w:t>苯甲</w:t>
            </w:r>
            <w:r>
              <w:rPr>
                <w:rFonts w:ascii="Times New Roman"/>
                <w:kern w:val="2"/>
                <w:sz w:val="18"/>
                <w:szCs w:val="18"/>
              </w:rPr>
              <w:t>·</w:t>
            </w:r>
            <w:r>
              <w:rPr>
                <w:rFonts w:ascii="Times New Roman"/>
                <w:kern w:val="2"/>
                <w:sz w:val="18"/>
                <w:szCs w:val="18"/>
              </w:rPr>
              <w:t>吡唑酯悬浮剂</w:t>
            </w:r>
          </w:p>
        </w:tc>
        <w:tc>
          <w:tcPr>
            <w:tcW w:w="1514" w:type="dxa"/>
            <w:vAlign w:val="center"/>
          </w:tcPr>
          <w:p w:rsidR="00CF37BF" w:rsidRDefault="00562902">
            <w:pPr>
              <w:pStyle w:val="a8"/>
              <w:ind w:firstLineChars="0" w:firstLine="0"/>
              <w:jc w:val="center"/>
              <w:rPr>
                <w:rFonts w:ascii="Times New Roman"/>
                <w:kern w:val="2"/>
                <w:sz w:val="18"/>
                <w:szCs w:val="18"/>
              </w:rPr>
            </w:pPr>
            <w:r>
              <w:rPr>
                <w:rFonts w:ascii="Times New Roman"/>
                <w:kern w:val="2"/>
                <w:sz w:val="18"/>
                <w:szCs w:val="18"/>
              </w:rPr>
              <w:t>2000</w:t>
            </w:r>
            <w:r>
              <w:rPr>
                <w:rFonts w:ascii="Times New Roman"/>
                <w:kern w:val="2"/>
                <w:sz w:val="18"/>
                <w:szCs w:val="18"/>
              </w:rPr>
              <w:t>～</w:t>
            </w:r>
            <w:r>
              <w:rPr>
                <w:rFonts w:ascii="Times New Roman"/>
                <w:kern w:val="2"/>
                <w:sz w:val="18"/>
                <w:szCs w:val="18"/>
              </w:rPr>
              <w:t>3000</w:t>
            </w:r>
            <w:r>
              <w:rPr>
                <w:rFonts w:ascii="Times New Roman"/>
                <w:kern w:val="2"/>
                <w:sz w:val="18"/>
                <w:szCs w:val="18"/>
              </w:rPr>
              <w:t>倍液</w:t>
            </w:r>
          </w:p>
        </w:tc>
        <w:tc>
          <w:tcPr>
            <w:tcW w:w="1035" w:type="dxa"/>
            <w:vAlign w:val="center"/>
          </w:tcPr>
          <w:p w:rsidR="00CF37BF" w:rsidRDefault="00562902">
            <w:pPr>
              <w:pStyle w:val="a8"/>
              <w:ind w:firstLineChars="0" w:firstLine="0"/>
              <w:jc w:val="center"/>
              <w:rPr>
                <w:rFonts w:ascii="Times New Roman"/>
                <w:kern w:val="2"/>
                <w:sz w:val="18"/>
                <w:szCs w:val="18"/>
              </w:rPr>
            </w:pPr>
            <w:r>
              <w:rPr>
                <w:rFonts w:ascii="Times New Roman"/>
                <w:kern w:val="2"/>
                <w:sz w:val="18"/>
                <w:szCs w:val="18"/>
              </w:rPr>
              <w:t>喷雾</w:t>
            </w:r>
          </w:p>
        </w:tc>
        <w:tc>
          <w:tcPr>
            <w:tcW w:w="993" w:type="dxa"/>
            <w:vAlign w:val="center"/>
          </w:tcPr>
          <w:p w:rsidR="00CF37BF" w:rsidRDefault="00562902">
            <w:pPr>
              <w:pStyle w:val="a8"/>
              <w:ind w:firstLineChars="0" w:firstLine="0"/>
              <w:jc w:val="center"/>
              <w:rPr>
                <w:rFonts w:ascii="Times New Roman"/>
                <w:kern w:val="2"/>
                <w:sz w:val="18"/>
                <w:szCs w:val="18"/>
              </w:rPr>
            </w:pPr>
            <w:r>
              <w:rPr>
                <w:rFonts w:ascii="Times New Roman"/>
                <w:kern w:val="2"/>
                <w:sz w:val="18"/>
                <w:szCs w:val="18"/>
              </w:rPr>
              <w:t>21</w:t>
            </w:r>
          </w:p>
        </w:tc>
      </w:tr>
      <w:tr w:rsidR="00CF37BF" w:rsidTr="000218B1">
        <w:trPr>
          <w:trHeight w:val="409"/>
          <w:jc w:val="center"/>
        </w:trPr>
        <w:tc>
          <w:tcPr>
            <w:tcW w:w="8579" w:type="dxa"/>
            <w:gridSpan w:val="6"/>
            <w:vAlign w:val="center"/>
          </w:tcPr>
          <w:p w:rsidR="00CF37BF" w:rsidRDefault="00562902" w:rsidP="000218B1">
            <w:pPr>
              <w:pStyle w:val="a8"/>
              <w:ind w:firstLineChars="0" w:firstLine="0"/>
              <w:jc w:val="left"/>
              <w:rPr>
                <w:rFonts w:ascii="Times New Roman"/>
                <w:kern w:val="2"/>
                <w:sz w:val="18"/>
                <w:szCs w:val="18"/>
              </w:rPr>
            </w:pPr>
            <w:r>
              <w:rPr>
                <w:rFonts w:ascii="Times New Roman"/>
                <w:kern w:val="2"/>
                <w:sz w:val="18"/>
                <w:szCs w:val="18"/>
              </w:rPr>
              <w:t>注：农药使用以最新版本</w:t>
            </w:r>
            <w:r>
              <w:rPr>
                <w:rFonts w:ascii="Times New Roman"/>
                <w:kern w:val="2"/>
                <w:sz w:val="18"/>
                <w:szCs w:val="18"/>
              </w:rPr>
              <w:t>NY/T 393</w:t>
            </w:r>
            <w:r>
              <w:rPr>
                <w:rFonts w:ascii="Times New Roman"/>
                <w:kern w:val="2"/>
                <w:sz w:val="18"/>
                <w:szCs w:val="18"/>
              </w:rPr>
              <w:t>的规定为准</w:t>
            </w:r>
          </w:p>
        </w:tc>
      </w:tr>
    </w:tbl>
    <w:p w:rsidR="00CF37BF" w:rsidRDefault="00CF37BF"/>
    <w:p w:rsidR="00CF37BF" w:rsidRDefault="001A1E35">
      <w:pPr>
        <w:ind w:firstLine="440"/>
      </w:pPr>
      <w:r>
        <w:rPr>
          <w:noProof/>
        </w:rPr>
        <mc:AlternateContent>
          <mc:Choice Requires="wps">
            <w:drawing>
              <wp:anchor distT="0" distB="0" distL="114300" distR="114300" simplePos="0" relativeHeight="251661312" behindDoc="0" locked="0" layoutInCell="1" allowOverlap="1">
                <wp:simplePos x="0" y="0"/>
                <wp:positionH relativeFrom="column">
                  <wp:posOffset>1411035</wp:posOffset>
                </wp:positionH>
                <wp:positionV relativeFrom="paragraph">
                  <wp:posOffset>347364</wp:posOffset>
                </wp:positionV>
                <wp:extent cx="2374711" cy="0"/>
                <wp:effectExtent l="0" t="0" r="26035" b="19050"/>
                <wp:wrapNone/>
                <wp:docPr id="6" name="直接连接符 6"/>
                <wp:cNvGraphicFramePr/>
                <a:graphic xmlns:a="http://schemas.openxmlformats.org/drawingml/2006/main">
                  <a:graphicData uri="http://schemas.microsoft.com/office/word/2010/wordprocessingShape">
                    <wps:wsp>
                      <wps:cNvCnPr/>
                      <wps:spPr>
                        <a:xfrm>
                          <a:off x="0" y="0"/>
                          <a:ext cx="2374711"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4284D4A" id="直接连接符 6" o:spid="_x0000_s1026" style="position:absolute;left:0;text-align:left;z-index:251661312;visibility:visible;mso-wrap-style:square;mso-wrap-distance-left:9pt;mso-wrap-distance-top:0;mso-wrap-distance-right:9pt;mso-wrap-distance-bottom:0;mso-position-horizontal:absolute;mso-position-horizontal-relative:text;mso-position-vertical:absolute;mso-position-vertical-relative:text" from="111.1pt,27.35pt" to="298.1pt,2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" strokecolor="black [3213]" strokeweight=".5pt">
                <v:stroke joinstyle="miter"/>
              </v:line>
            </w:pict>
          </mc:Fallback>
        </mc:AlternateContent>
      </w:r>
    </w:p>
    <w:sectPr w:rsidR="00CF37BF">
      <w:pgSz w:w="11906" w:h="16838"/>
      <w:pgMar w:top="1440" w:right="1797" w:bottom="1440" w:left="1797"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16F8" w:rsidRDefault="001416F8" w:rsidP="000218B1">
      <w:r>
        <w:separator/>
      </w:r>
    </w:p>
  </w:endnote>
  <w:endnote w:type="continuationSeparator" w:id="0">
    <w:p w:rsidR="001416F8" w:rsidRDefault="001416F8" w:rsidP="000218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default"/>
    <w:sig w:usb0="00000001" w:usb1="080E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02625658"/>
      <w:docPartObj>
        <w:docPartGallery w:val="Page Numbers (Bottom of Page)"/>
        <w:docPartUnique/>
      </w:docPartObj>
    </w:sdtPr>
    <w:sdtEndPr/>
    <w:sdtContent>
      <w:p w:rsidR="00BE5FB5" w:rsidRDefault="00BE5FB5">
        <w:pPr>
          <w:pStyle w:val="a6"/>
        </w:pPr>
        <w:r>
          <w:fldChar w:fldCharType="begin"/>
        </w:r>
        <w:r>
          <w:instrText>PAGE   \* MERGEFORMAT</w:instrText>
        </w:r>
        <w:r>
          <w:fldChar w:fldCharType="separate"/>
        </w:r>
        <w:r w:rsidR="00A840CB" w:rsidRPr="00A840CB">
          <w:rPr>
            <w:noProof/>
            <w:lang w:val="zh-CN"/>
          </w:rPr>
          <w:t>2</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1E35" w:rsidRDefault="001A1E35">
    <w:pPr>
      <w:pStyle w:val="a6"/>
      <w:jc w:val="center"/>
    </w:pPr>
  </w:p>
  <w:p w:rsidR="001A1E35" w:rsidRDefault="001A1E35">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88732019"/>
      <w:docPartObj>
        <w:docPartGallery w:val="Page Numbers (Bottom of Page)"/>
        <w:docPartUnique/>
      </w:docPartObj>
    </w:sdtPr>
    <w:sdtEndPr/>
    <w:sdtContent>
      <w:p w:rsidR="001A1E35" w:rsidRDefault="001A1E35" w:rsidP="001A1E35">
        <w:pPr>
          <w:pStyle w:val="a6"/>
          <w:jc w:val="center"/>
        </w:pPr>
        <w:r>
          <w:fldChar w:fldCharType="begin"/>
        </w:r>
        <w:r>
          <w:instrText>PAGE   \* MERGEFORMAT</w:instrText>
        </w:r>
        <w:r>
          <w:fldChar w:fldCharType="separate"/>
        </w:r>
        <w:r w:rsidRPr="001A1E35">
          <w:rPr>
            <w:noProof/>
            <w:lang w:val="zh-CN"/>
          </w:rPr>
          <w:t>3</w:t>
        </w:r>
        <w: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2626989"/>
      <w:docPartObj>
        <w:docPartGallery w:val="Page Numbers (Bottom of Page)"/>
        <w:docPartUnique/>
      </w:docPartObj>
    </w:sdtPr>
    <w:sdtEndPr/>
    <w:sdtContent>
      <w:p w:rsidR="001A1E35" w:rsidRDefault="001A1E35" w:rsidP="00BE5FB5">
        <w:pPr>
          <w:pStyle w:val="a6"/>
          <w:jc w:val="right"/>
        </w:pPr>
        <w:r>
          <w:fldChar w:fldCharType="begin"/>
        </w:r>
        <w:r>
          <w:instrText>PAGE   \* MERGEFORMAT</w:instrText>
        </w:r>
        <w:r>
          <w:fldChar w:fldCharType="separate"/>
        </w:r>
        <w:r w:rsidR="00A840CB" w:rsidRPr="00A840CB">
          <w:rPr>
            <w:noProof/>
            <w:lang w:val="zh-CN"/>
          </w:rPr>
          <w:t>1</w:t>
        </w:r>
        <w: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06502068"/>
      <w:docPartObj>
        <w:docPartGallery w:val="Page Numbers (Bottom of Page)"/>
        <w:docPartUnique/>
      </w:docPartObj>
    </w:sdtPr>
    <w:sdtEndPr/>
    <w:sdtContent>
      <w:p w:rsidR="001A1E35" w:rsidRDefault="001A1E35" w:rsidP="001A1E35">
        <w:pPr>
          <w:pStyle w:val="a6"/>
          <w:jc w:val="center"/>
        </w:pPr>
        <w:r>
          <w:fldChar w:fldCharType="begin"/>
        </w:r>
        <w:r>
          <w:instrText>PAGE   \* MERGEFORMAT</w:instrText>
        </w:r>
        <w:r>
          <w:fldChar w:fldCharType="separate"/>
        </w:r>
        <w:r w:rsidR="00BE5FB5" w:rsidRPr="00BE5FB5">
          <w:rPr>
            <w:noProof/>
            <w:lang w:val="zh-CN"/>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16F8" w:rsidRDefault="001416F8" w:rsidP="000218B1">
      <w:r>
        <w:separator/>
      </w:r>
    </w:p>
  </w:footnote>
  <w:footnote w:type="continuationSeparator" w:id="0">
    <w:p w:rsidR="001416F8" w:rsidRDefault="001416F8" w:rsidP="000218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1E35" w:rsidRDefault="001416F8" w:rsidP="00BE5FB5">
    <w:pPr>
      <w:pStyle w:val="a7"/>
      <w:pBdr>
        <w:bottom w:val="none" w:sz="0" w:space="0" w:color="auto"/>
      </w:pBd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861078" o:spid="_x0000_s2050" type="#_x0000_t75" style="position:absolute;left:0;text-align:left;margin-left:0;margin-top:0;width:415.45pt;height:387.2pt;z-index:-251657216;mso-position-horizontal:center;mso-position-horizontal-relative:margin;mso-position-vertical:center;mso-position-vertical-relative:margin" o:allowincell="f">
          <v:imagedata r:id="rId1" o:title="绿标png"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1E35" w:rsidRDefault="001416F8" w:rsidP="001A1E35">
    <w:pPr>
      <w:pStyle w:val="a7"/>
      <w:pBdr>
        <w:bottom w:val="none" w:sz="0" w:space="0" w:color="auto"/>
      </w:pBd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861079" o:spid="_x0000_s2051" type="#_x0000_t75" style="position:absolute;left:0;text-align:left;margin-left:0;margin-top:0;width:415.45pt;height:387.2pt;z-index:-251656192;mso-position-horizontal:center;mso-position-horizontal-relative:margin;mso-position-vertical:center;mso-position-vertical-relative:margin" o:allowincell="f">
          <v:imagedata r:id="rId1" o:title="绿标png" gain="19661f" blacklevel="22938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1E35" w:rsidRDefault="001416F8">
    <w:pPr>
      <w:pStyle w:val="a7"/>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861077" o:spid="_x0000_s2049" type="#_x0000_t75" style="position:absolute;left:0;text-align:left;margin-left:0;margin-top:0;width:415.45pt;height:387.2pt;z-index:-251658240;mso-position-horizontal:center;mso-position-horizontal-relative:margin;mso-position-vertical:center;mso-position-vertical-relative:margin" o:allowincell="f">
          <v:imagedata r:id="rId1" o:title="绿标png" gain="19661f" blacklevel="22938f"/>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1E35" w:rsidRDefault="001416F8" w:rsidP="00BE5FB5">
    <w:pPr>
      <w:pStyle w:val="a7"/>
      <w:pBdr>
        <w:bottom w:val="none" w:sz="0" w:space="0" w:color="auto"/>
      </w:pBd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861081" o:spid="_x0000_s2053" type="#_x0000_t75" style="position:absolute;left:0;text-align:left;margin-left:0;margin-top:0;width:415.45pt;height:387.2pt;z-index:-251654144;mso-position-horizontal:center;mso-position-horizontal-relative:margin;mso-position-vertical:center;mso-position-vertical-relative:margin" o:allowincell="f">
          <v:imagedata r:id="rId1" o:title="绿标png" gain="19661f" blacklevel="22938f"/>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1E35" w:rsidRDefault="001416F8" w:rsidP="001A1E35">
    <w:pPr>
      <w:pStyle w:val="a7"/>
      <w:pBdr>
        <w:bottom w:val="none" w:sz="0" w:space="0" w:color="auto"/>
      </w:pBd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861082" o:spid="_x0000_s2054" type="#_x0000_t75" style="position:absolute;left:0;text-align:left;margin-left:0;margin-top:0;width:415.45pt;height:387.2pt;z-index:-251653120;mso-position-horizontal:center;mso-position-horizontal-relative:margin;mso-position-vertical:center;mso-position-vertical-relative:margin" o:allowincell="f">
          <v:imagedata r:id="rId1" o:title="绿标png" gain="19661f" blacklevel="22938f"/>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1E35" w:rsidRDefault="001416F8" w:rsidP="001A1E35">
    <w:pPr>
      <w:pStyle w:val="a7"/>
      <w:pBdr>
        <w:bottom w:val="none" w:sz="0" w:space="0" w:color="auto"/>
      </w:pBd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861080" o:spid="_x0000_s2052" type="#_x0000_t75" style="position:absolute;left:0;text-align:left;margin-left:0;margin-top:0;width:415.45pt;height:387.2pt;z-index:-251655168;mso-position-horizontal:center;mso-position-horizontal-relative:margin;mso-position-vertical:center;mso-position-vertical-relative:margin" o:allowincell="f">
          <v:imagedata r:id="rId1" o:title="绿标png"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pStyle w:val="a"/>
      <w:suff w:val="nothing"/>
      <w:lvlText w:val="%1.%2　"/>
      <w:lvlJc w:val="left"/>
      <w:pPr>
        <w:ind w:left="0"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
    <w:nsid w:val="6CEA2025"/>
    <w:multiLevelType w:val="multilevel"/>
    <w:tmpl w:val="6CEA2025"/>
    <w:lvl w:ilvl="0">
      <w:start w:val="1"/>
      <w:numFmt w:val="none"/>
      <w:suff w:val="nothing"/>
      <w:lvlText w:val="%1"/>
      <w:lvlJc w:val="left"/>
      <w:pPr>
        <w:ind w:left="0" w:firstLine="0"/>
      </w:pPr>
      <w:rPr>
        <w:rFonts w:hint="eastAsia"/>
      </w:rPr>
    </w:lvl>
    <w:lvl w:ilvl="1">
      <w:start w:val="1"/>
      <w:numFmt w:val="decimal"/>
      <w:suff w:val="nothing"/>
      <w:lvlText w:val="%1%2　"/>
      <w:lvlJc w:val="left"/>
      <w:pPr>
        <w:ind w:left="1135" w:firstLine="0"/>
      </w:pPr>
      <w:rPr>
        <w:rFonts w:ascii="黑体" w:eastAsia="黑体" w:hint="eastAsia"/>
        <w:b w:val="0"/>
        <w:i w:val="0"/>
        <w:sz w:val="21"/>
      </w:rPr>
    </w:lvl>
    <w:lvl w:ilvl="2">
      <w:start w:val="1"/>
      <w:numFmt w:val="decimal"/>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0"/>
      <w:suff w:val="nothing"/>
      <w:lvlText w:val="%1%2.%3.%4　"/>
      <w:lvlJc w:val="left"/>
      <w:pPr>
        <w:ind w:left="0" w:firstLine="0"/>
      </w:pPr>
      <w:rPr>
        <w:rFonts w:ascii="黑体" w:eastAsia="黑体" w:hint="eastAsia"/>
        <w:b w:val="0"/>
        <w:i w:val="0"/>
        <w:sz w:val="21"/>
      </w:rPr>
    </w:lvl>
    <w:lvl w:ilvl="4">
      <w:start w:val="1"/>
      <w:numFmt w:val="decimal"/>
      <w:suff w:val="nothing"/>
      <w:lvlText w:val="%1%2.%3.%4.%5　"/>
      <w:lvlJc w:val="left"/>
      <w:pPr>
        <w:ind w:left="0" w:firstLine="0"/>
      </w:pPr>
      <w:rPr>
        <w:rFonts w:ascii="黑体" w:eastAsia="黑体" w:hint="eastAsia"/>
        <w:b w:val="0"/>
        <w:i w:val="0"/>
        <w:sz w:val="21"/>
      </w:rPr>
    </w:lvl>
    <w:lvl w:ilvl="5">
      <w:start w:val="1"/>
      <w:numFmt w:val="decimal"/>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7"/>
  <w:embedSystemFonts/>
  <w:bordersDoNotSurroundHeader/>
  <w:bordersDoNotSurroundFooter/>
  <w:defaultTabStop w:val="420"/>
  <w:evenAndOddHeaders/>
  <w:drawingGridHorizontalSpacing w:val="120"/>
  <w:drawingGridVerticalSpacing w:val="163"/>
  <w:displayHorizontalDrawingGridEvery w:val="2"/>
  <w:displayVerticalDrawingGridEvery w:val="2"/>
  <w:noPunctuationKerning/>
  <w:characterSpacingControl w:val="compressPunctuation"/>
  <w:hdrShapeDefaults>
    <o:shapedefaults v:ext="edit" spidmax="2055"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I2MGNhYWYzZGI2NTY2YThmNDBlNGQ3MTQ3OGU1MmMifQ=="/>
  </w:docVars>
  <w:rsids>
    <w:rsidRoot w:val="00C76049"/>
    <w:rsid w:val="BF3F771C"/>
    <w:rsid w:val="E6D73CAE"/>
    <w:rsid w:val="FD7FEE75"/>
    <w:rsid w:val="FFFBD905"/>
    <w:rsid w:val="000218B1"/>
    <w:rsid w:val="001416F8"/>
    <w:rsid w:val="00144368"/>
    <w:rsid w:val="001A1E35"/>
    <w:rsid w:val="00356968"/>
    <w:rsid w:val="00373C1F"/>
    <w:rsid w:val="00393207"/>
    <w:rsid w:val="00416710"/>
    <w:rsid w:val="00426D06"/>
    <w:rsid w:val="00556AA6"/>
    <w:rsid w:val="00562902"/>
    <w:rsid w:val="005F7B47"/>
    <w:rsid w:val="006218EC"/>
    <w:rsid w:val="0066304E"/>
    <w:rsid w:val="006C57AF"/>
    <w:rsid w:val="00895B1A"/>
    <w:rsid w:val="00A5241D"/>
    <w:rsid w:val="00A840CB"/>
    <w:rsid w:val="00BE5FB5"/>
    <w:rsid w:val="00C56CB5"/>
    <w:rsid w:val="00C76049"/>
    <w:rsid w:val="00CC6C99"/>
    <w:rsid w:val="00CF37BF"/>
    <w:rsid w:val="00D35937"/>
    <w:rsid w:val="00DA2895"/>
    <w:rsid w:val="00DE7588"/>
    <w:rsid w:val="00E103E6"/>
    <w:rsid w:val="00FE7B94"/>
    <w:rsid w:val="01101675"/>
    <w:rsid w:val="011C2014"/>
    <w:rsid w:val="016F283F"/>
    <w:rsid w:val="01706562"/>
    <w:rsid w:val="01A278E7"/>
    <w:rsid w:val="01B91D0C"/>
    <w:rsid w:val="01DD13CE"/>
    <w:rsid w:val="025D4D8E"/>
    <w:rsid w:val="026715B2"/>
    <w:rsid w:val="0295277A"/>
    <w:rsid w:val="03426EA4"/>
    <w:rsid w:val="04074FB1"/>
    <w:rsid w:val="0419416A"/>
    <w:rsid w:val="04814D63"/>
    <w:rsid w:val="04A62585"/>
    <w:rsid w:val="04A93152"/>
    <w:rsid w:val="058E6CD4"/>
    <w:rsid w:val="060C4B01"/>
    <w:rsid w:val="06315F34"/>
    <w:rsid w:val="064A068B"/>
    <w:rsid w:val="0667442D"/>
    <w:rsid w:val="069F7723"/>
    <w:rsid w:val="06EC015E"/>
    <w:rsid w:val="076A3C95"/>
    <w:rsid w:val="077C7A64"/>
    <w:rsid w:val="07820188"/>
    <w:rsid w:val="07A02E45"/>
    <w:rsid w:val="07CA4C73"/>
    <w:rsid w:val="07DC0503"/>
    <w:rsid w:val="07F200E1"/>
    <w:rsid w:val="07F20E4B"/>
    <w:rsid w:val="08952126"/>
    <w:rsid w:val="08CE0793"/>
    <w:rsid w:val="093E1A80"/>
    <w:rsid w:val="09903C9B"/>
    <w:rsid w:val="09A92667"/>
    <w:rsid w:val="09F004D0"/>
    <w:rsid w:val="0A1421D6"/>
    <w:rsid w:val="0B2B5A29"/>
    <w:rsid w:val="0B6B50F5"/>
    <w:rsid w:val="0B8E420A"/>
    <w:rsid w:val="0BF6715F"/>
    <w:rsid w:val="0BF978D5"/>
    <w:rsid w:val="0C0D071F"/>
    <w:rsid w:val="0C6F1571"/>
    <w:rsid w:val="0C8F023A"/>
    <w:rsid w:val="0DB06988"/>
    <w:rsid w:val="0DC83A03"/>
    <w:rsid w:val="0DF947CD"/>
    <w:rsid w:val="0E0D7668"/>
    <w:rsid w:val="0E4A4418"/>
    <w:rsid w:val="0E835B7C"/>
    <w:rsid w:val="0F3626A9"/>
    <w:rsid w:val="0F3F7919"/>
    <w:rsid w:val="0F735BF1"/>
    <w:rsid w:val="0FA77150"/>
    <w:rsid w:val="0FA83AEC"/>
    <w:rsid w:val="10180ED9"/>
    <w:rsid w:val="104016AB"/>
    <w:rsid w:val="106D388B"/>
    <w:rsid w:val="10C01EC3"/>
    <w:rsid w:val="10D11391"/>
    <w:rsid w:val="10FE773C"/>
    <w:rsid w:val="11020FDA"/>
    <w:rsid w:val="112A6783"/>
    <w:rsid w:val="11394BE1"/>
    <w:rsid w:val="116C1C49"/>
    <w:rsid w:val="11DA1F57"/>
    <w:rsid w:val="124A72BA"/>
    <w:rsid w:val="13B949FF"/>
    <w:rsid w:val="14353353"/>
    <w:rsid w:val="14382B99"/>
    <w:rsid w:val="14D15C6A"/>
    <w:rsid w:val="153A0A9F"/>
    <w:rsid w:val="157762B6"/>
    <w:rsid w:val="159067BF"/>
    <w:rsid w:val="16201F02"/>
    <w:rsid w:val="16210154"/>
    <w:rsid w:val="16E00C97"/>
    <w:rsid w:val="16E72D9B"/>
    <w:rsid w:val="176072C1"/>
    <w:rsid w:val="17E0642E"/>
    <w:rsid w:val="186407CC"/>
    <w:rsid w:val="187F5606"/>
    <w:rsid w:val="18812983"/>
    <w:rsid w:val="196547FC"/>
    <w:rsid w:val="19CC487B"/>
    <w:rsid w:val="1A1611A4"/>
    <w:rsid w:val="1A897B27"/>
    <w:rsid w:val="1AE259D8"/>
    <w:rsid w:val="1B15245C"/>
    <w:rsid w:val="1B2E6E70"/>
    <w:rsid w:val="1B4433D1"/>
    <w:rsid w:val="1B5F527B"/>
    <w:rsid w:val="1BCD0633"/>
    <w:rsid w:val="1BE26B8E"/>
    <w:rsid w:val="1C2A5889"/>
    <w:rsid w:val="1CA35495"/>
    <w:rsid w:val="1D06723A"/>
    <w:rsid w:val="1DD2022A"/>
    <w:rsid w:val="1DD33343"/>
    <w:rsid w:val="1E4C291C"/>
    <w:rsid w:val="1E610181"/>
    <w:rsid w:val="1F122D30"/>
    <w:rsid w:val="1F233F78"/>
    <w:rsid w:val="1F244A63"/>
    <w:rsid w:val="1F4201B7"/>
    <w:rsid w:val="1FA75A7B"/>
    <w:rsid w:val="1FDD385C"/>
    <w:rsid w:val="20012DA5"/>
    <w:rsid w:val="203717D3"/>
    <w:rsid w:val="20790B8D"/>
    <w:rsid w:val="2104122A"/>
    <w:rsid w:val="21F4671D"/>
    <w:rsid w:val="22034B12"/>
    <w:rsid w:val="220C6907"/>
    <w:rsid w:val="225B54B0"/>
    <w:rsid w:val="22A77C33"/>
    <w:rsid w:val="22CF502E"/>
    <w:rsid w:val="22F51382"/>
    <w:rsid w:val="230E380E"/>
    <w:rsid w:val="23810484"/>
    <w:rsid w:val="24ED56A6"/>
    <w:rsid w:val="25873CA1"/>
    <w:rsid w:val="258B4FCD"/>
    <w:rsid w:val="259506FD"/>
    <w:rsid w:val="25B322D2"/>
    <w:rsid w:val="25CD6DE8"/>
    <w:rsid w:val="265C0D35"/>
    <w:rsid w:val="269B185D"/>
    <w:rsid w:val="270F7B55"/>
    <w:rsid w:val="27204DD2"/>
    <w:rsid w:val="27F4618E"/>
    <w:rsid w:val="2884215D"/>
    <w:rsid w:val="28A55D6B"/>
    <w:rsid w:val="297665B1"/>
    <w:rsid w:val="298B0464"/>
    <w:rsid w:val="29F13C05"/>
    <w:rsid w:val="2A094D30"/>
    <w:rsid w:val="2B4F2C16"/>
    <w:rsid w:val="2B8A4A69"/>
    <w:rsid w:val="2B8A50CB"/>
    <w:rsid w:val="2BE9306B"/>
    <w:rsid w:val="2C2E3173"/>
    <w:rsid w:val="2D2F2CFF"/>
    <w:rsid w:val="2D9B223F"/>
    <w:rsid w:val="2E7447EA"/>
    <w:rsid w:val="2F452CAE"/>
    <w:rsid w:val="2FB7390F"/>
    <w:rsid w:val="2FCF2577"/>
    <w:rsid w:val="30202DD3"/>
    <w:rsid w:val="313A6554"/>
    <w:rsid w:val="313E3908"/>
    <w:rsid w:val="31475C22"/>
    <w:rsid w:val="31540F86"/>
    <w:rsid w:val="31667BF5"/>
    <w:rsid w:val="31F54CE5"/>
    <w:rsid w:val="3216448E"/>
    <w:rsid w:val="323B3EF4"/>
    <w:rsid w:val="32825D50"/>
    <w:rsid w:val="32AE0DD0"/>
    <w:rsid w:val="32EB76C8"/>
    <w:rsid w:val="3328489F"/>
    <w:rsid w:val="336F74E8"/>
    <w:rsid w:val="33EC72C4"/>
    <w:rsid w:val="33FC0CEC"/>
    <w:rsid w:val="35601861"/>
    <w:rsid w:val="35C22B2D"/>
    <w:rsid w:val="35C96F16"/>
    <w:rsid w:val="365657A0"/>
    <w:rsid w:val="36810057"/>
    <w:rsid w:val="37160A8C"/>
    <w:rsid w:val="371B60A2"/>
    <w:rsid w:val="375632C7"/>
    <w:rsid w:val="379A16BD"/>
    <w:rsid w:val="37E961A0"/>
    <w:rsid w:val="38482EC7"/>
    <w:rsid w:val="38916EC0"/>
    <w:rsid w:val="393B0C7E"/>
    <w:rsid w:val="39875C71"/>
    <w:rsid w:val="3A190FBF"/>
    <w:rsid w:val="3A255BB6"/>
    <w:rsid w:val="3A444B60"/>
    <w:rsid w:val="3AE138EB"/>
    <w:rsid w:val="3B5836F2"/>
    <w:rsid w:val="3BF07AFD"/>
    <w:rsid w:val="3C394A07"/>
    <w:rsid w:val="3C682843"/>
    <w:rsid w:val="3C7E335B"/>
    <w:rsid w:val="3C892B3D"/>
    <w:rsid w:val="3D29776B"/>
    <w:rsid w:val="3D514B52"/>
    <w:rsid w:val="3D932C5A"/>
    <w:rsid w:val="3E3068D7"/>
    <w:rsid w:val="3E3A5699"/>
    <w:rsid w:val="3E42660A"/>
    <w:rsid w:val="3E756F1E"/>
    <w:rsid w:val="3F827606"/>
    <w:rsid w:val="3FAB0FA1"/>
    <w:rsid w:val="3FC34142"/>
    <w:rsid w:val="3FCD2003"/>
    <w:rsid w:val="3FE67640"/>
    <w:rsid w:val="3FEE07F8"/>
    <w:rsid w:val="4033445D"/>
    <w:rsid w:val="407C4056"/>
    <w:rsid w:val="40F63E08"/>
    <w:rsid w:val="41F61BE6"/>
    <w:rsid w:val="42091919"/>
    <w:rsid w:val="424D2506"/>
    <w:rsid w:val="425C6867"/>
    <w:rsid w:val="43345150"/>
    <w:rsid w:val="43503578"/>
    <w:rsid w:val="43880F63"/>
    <w:rsid w:val="438D0328"/>
    <w:rsid w:val="444C5007"/>
    <w:rsid w:val="444E0391"/>
    <w:rsid w:val="448D4A83"/>
    <w:rsid w:val="44CB55AC"/>
    <w:rsid w:val="44FE14DD"/>
    <w:rsid w:val="45B53E0B"/>
    <w:rsid w:val="45B778DE"/>
    <w:rsid w:val="45C67B21"/>
    <w:rsid w:val="46211698"/>
    <w:rsid w:val="463D4287"/>
    <w:rsid w:val="46934781"/>
    <w:rsid w:val="46DB28EC"/>
    <w:rsid w:val="47E56984"/>
    <w:rsid w:val="483059AB"/>
    <w:rsid w:val="483B47F6"/>
    <w:rsid w:val="488842DE"/>
    <w:rsid w:val="489F6B33"/>
    <w:rsid w:val="48FC48D2"/>
    <w:rsid w:val="4904108C"/>
    <w:rsid w:val="49855C23"/>
    <w:rsid w:val="4A897A9B"/>
    <w:rsid w:val="4ACE3700"/>
    <w:rsid w:val="4AD60806"/>
    <w:rsid w:val="4B3F63AB"/>
    <w:rsid w:val="4B985D67"/>
    <w:rsid w:val="4BCE14DD"/>
    <w:rsid w:val="4C221210"/>
    <w:rsid w:val="4C3A6B73"/>
    <w:rsid w:val="4CAF130F"/>
    <w:rsid w:val="4CB15087"/>
    <w:rsid w:val="4CE4720A"/>
    <w:rsid w:val="4D325E65"/>
    <w:rsid w:val="4D5F2CDF"/>
    <w:rsid w:val="4D905E13"/>
    <w:rsid w:val="4E046AF9"/>
    <w:rsid w:val="4E165AE9"/>
    <w:rsid w:val="4E437F61"/>
    <w:rsid w:val="4E633730"/>
    <w:rsid w:val="4EDE4799"/>
    <w:rsid w:val="4F2C4E99"/>
    <w:rsid w:val="4F7378DB"/>
    <w:rsid w:val="507C3BFE"/>
    <w:rsid w:val="50BE4EDE"/>
    <w:rsid w:val="50BF2ED1"/>
    <w:rsid w:val="50E05F3B"/>
    <w:rsid w:val="51A1091B"/>
    <w:rsid w:val="5225603D"/>
    <w:rsid w:val="52E3570F"/>
    <w:rsid w:val="53714999"/>
    <w:rsid w:val="53876B42"/>
    <w:rsid w:val="53F65A75"/>
    <w:rsid w:val="54AD3CB4"/>
    <w:rsid w:val="54AD7DE0"/>
    <w:rsid w:val="54F16968"/>
    <w:rsid w:val="550C709F"/>
    <w:rsid w:val="552D196B"/>
    <w:rsid w:val="553B50EE"/>
    <w:rsid w:val="55C45EB7"/>
    <w:rsid w:val="568E6439"/>
    <w:rsid w:val="56B569A0"/>
    <w:rsid w:val="57A37CC2"/>
    <w:rsid w:val="582216C7"/>
    <w:rsid w:val="588C5C66"/>
    <w:rsid w:val="59101387"/>
    <w:rsid w:val="59126EAD"/>
    <w:rsid w:val="59215342"/>
    <w:rsid w:val="594F1EAF"/>
    <w:rsid w:val="59A07114"/>
    <w:rsid w:val="59D33455"/>
    <w:rsid w:val="5A2B1F74"/>
    <w:rsid w:val="5A6160EE"/>
    <w:rsid w:val="5A715E56"/>
    <w:rsid w:val="5AA579A3"/>
    <w:rsid w:val="5AA62949"/>
    <w:rsid w:val="5B2F6485"/>
    <w:rsid w:val="5BA364E3"/>
    <w:rsid w:val="5BC4185F"/>
    <w:rsid w:val="5C180F45"/>
    <w:rsid w:val="5C36795D"/>
    <w:rsid w:val="5C78171D"/>
    <w:rsid w:val="5C8E3077"/>
    <w:rsid w:val="5CF50FC0"/>
    <w:rsid w:val="5D264B4B"/>
    <w:rsid w:val="5D902A97"/>
    <w:rsid w:val="5E257E40"/>
    <w:rsid w:val="5E683743"/>
    <w:rsid w:val="5E744B0B"/>
    <w:rsid w:val="5E903FE4"/>
    <w:rsid w:val="5EF43505"/>
    <w:rsid w:val="5EFB03E4"/>
    <w:rsid w:val="5F622211"/>
    <w:rsid w:val="5F783EA0"/>
    <w:rsid w:val="5FA22561"/>
    <w:rsid w:val="5FA6034F"/>
    <w:rsid w:val="5FB87124"/>
    <w:rsid w:val="60121E89"/>
    <w:rsid w:val="60A24FBB"/>
    <w:rsid w:val="61016173"/>
    <w:rsid w:val="613876CD"/>
    <w:rsid w:val="61CD42B9"/>
    <w:rsid w:val="623449EB"/>
    <w:rsid w:val="63070EBE"/>
    <w:rsid w:val="630E6937"/>
    <w:rsid w:val="640815D9"/>
    <w:rsid w:val="646E01F4"/>
    <w:rsid w:val="646F78AA"/>
    <w:rsid w:val="64743A97"/>
    <w:rsid w:val="648C7A5F"/>
    <w:rsid w:val="64D92F75"/>
    <w:rsid w:val="66930DC1"/>
    <w:rsid w:val="66E04A8F"/>
    <w:rsid w:val="677D0530"/>
    <w:rsid w:val="67B31B1C"/>
    <w:rsid w:val="681E1043"/>
    <w:rsid w:val="686C14CD"/>
    <w:rsid w:val="68B140EA"/>
    <w:rsid w:val="68F654D6"/>
    <w:rsid w:val="694E2184"/>
    <w:rsid w:val="69790883"/>
    <w:rsid w:val="6A0A76F7"/>
    <w:rsid w:val="6A252614"/>
    <w:rsid w:val="6A5605FD"/>
    <w:rsid w:val="6A690DCF"/>
    <w:rsid w:val="6A920AA7"/>
    <w:rsid w:val="6AD22940"/>
    <w:rsid w:val="6B0E2A5D"/>
    <w:rsid w:val="6B8F0F50"/>
    <w:rsid w:val="6B99520C"/>
    <w:rsid w:val="6BBC04F0"/>
    <w:rsid w:val="6C841A18"/>
    <w:rsid w:val="6CE16E6B"/>
    <w:rsid w:val="6DA02882"/>
    <w:rsid w:val="6E0D54FE"/>
    <w:rsid w:val="6EB20ABF"/>
    <w:rsid w:val="6FC86C96"/>
    <w:rsid w:val="70025A76"/>
    <w:rsid w:val="700E6317"/>
    <w:rsid w:val="70691651"/>
    <w:rsid w:val="70AE23AB"/>
    <w:rsid w:val="70AE3DA6"/>
    <w:rsid w:val="717C53B4"/>
    <w:rsid w:val="71A7174E"/>
    <w:rsid w:val="725D63AC"/>
    <w:rsid w:val="726209A9"/>
    <w:rsid w:val="727D13E4"/>
    <w:rsid w:val="73123198"/>
    <w:rsid w:val="73B13A3B"/>
    <w:rsid w:val="73D52398"/>
    <w:rsid w:val="74033078"/>
    <w:rsid w:val="74A54C22"/>
    <w:rsid w:val="74B11819"/>
    <w:rsid w:val="74C50E20"/>
    <w:rsid w:val="75426095"/>
    <w:rsid w:val="755F74C6"/>
    <w:rsid w:val="758111EB"/>
    <w:rsid w:val="75902281"/>
    <w:rsid w:val="75A66EA3"/>
    <w:rsid w:val="763F224D"/>
    <w:rsid w:val="764E22AC"/>
    <w:rsid w:val="767E2C71"/>
    <w:rsid w:val="7695472E"/>
    <w:rsid w:val="76992564"/>
    <w:rsid w:val="76D61912"/>
    <w:rsid w:val="76E96C41"/>
    <w:rsid w:val="770025DC"/>
    <w:rsid w:val="77112A42"/>
    <w:rsid w:val="77707769"/>
    <w:rsid w:val="77876861"/>
    <w:rsid w:val="77CE4490"/>
    <w:rsid w:val="7848319B"/>
    <w:rsid w:val="78A775D1"/>
    <w:rsid w:val="78E33F6B"/>
    <w:rsid w:val="796129C5"/>
    <w:rsid w:val="79F2491E"/>
    <w:rsid w:val="7A351A63"/>
    <w:rsid w:val="7AE127FF"/>
    <w:rsid w:val="7B0213B8"/>
    <w:rsid w:val="7B370A49"/>
    <w:rsid w:val="7BA40185"/>
    <w:rsid w:val="7C1510CD"/>
    <w:rsid w:val="7C4860DB"/>
    <w:rsid w:val="7CBB76D8"/>
    <w:rsid w:val="7CC61BD9"/>
    <w:rsid w:val="7CD442F6"/>
    <w:rsid w:val="7D2A2168"/>
    <w:rsid w:val="7E590F57"/>
    <w:rsid w:val="7EA63A70"/>
    <w:rsid w:val="7F016EF9"/>
    <w:rsid w:val="7F4367A7"/>
    <w:rsid w:val="7F995383"/>
    <w:rsid w:val="7FEB70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fillcolor="white">
      <v:fill color="white"/>
    </o:shapedefaults>
    <o:shapelayout v:ext="edit">
      <o:idmap v:ext="edit" data="1"/>
    </o:shapelayout>
  </w:shapeDefaults>
  <w:decimalSymbol w:val="."/>
  <w:listSeparator w:val=","/>
  <w15:docId w15:val="{90989B07-D4C0-4197-B166-1C5B22C1E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uiPriority="1" w:unhideWhenUsed="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Pr>
      <w:sz w:val="24"/>
      <w:szCs w:val="24"/>
    </w:rPr>
  </w:style>
  <w:style w:type="paragraph" w:styleId="1">
    <w:name w:val="heading 1"/>
    <w:basedOn w:val="a1"/>
    <w:next w:val="a1"/>
    <w:qFormat/>
    <w:rsid w:val="000218B1"/>
    <w:pPr>
      <w:keepNext/>
      <w:keepLines/>
      <w:adjustRightInd w:val="0"/>
      <w:snapToGrid w:val="0"/>
      <w:spacing w:line="360" w:lineRule="auto"/>
      <w:outlineLvl w:val="0"/>
    </w:pPr>
    <w:rPr>
      <w:rFonts w:ascii="黑体" w:eastAsia="黑体" w:hAnsi="黑体"/>
      <w:kern w:val="44"/>
      <w:sz w:val="21"/>
    </w:rPr>
  </w:style>
  <w:style w:type="paragraph" w:styleId="2">
    <w:name w:val="heading 2"/>
    <w:basedOn w:val="a1"/>
    <w:next w:val="a1"/>
    <w:unhideWhenUsed/>
    <w:qFormat/>
    <w:rsid w:val="000218B1"/>
    <w:pPr>
      <w:keepNext/>
      <w:keepLines/>
      <w:adjustRightInd w:val="0"/>
      <w:snapToGrid w:val="0"/>
      <w:spacing w:line="360" w:lineRule="auto"/>
      <w:outlineLvl w:val="1"/>
    </w:pPr>
    <w:rPr>
      <w:rFonts w:ascii="黑体" w:eastAsia="黑体" w:hAnsi="黑体"/>
      <w:sz w:val="21"/>
    </w:rPr>
  </w:style>
  <w:style w:type="paragraph" w:styleId="3">
    <w:name w:val="heading 3"/>
    <w:basedOn w:val="a1"/>
    <w:next w:val="a1"/>
    <w:link w:val="3Char"/>
    <w:unhideWhenUsed/>
    <w:qFormat/>
    <w:rsid w:val="000218B1"/>
    <w:pPr>
      <w:keepNext/>
      <w:keepLines/>
      <w:adjustRightInd w:val="0"/>
      <w:snapToGrid w:val="0"/>
      <w:spacing w:line="360" w:lineRule="auto"/>
      <w:outlineLvl w:val="2"/>
    </w:pPr>
    <w:rPr>
      <w:rFonts w:ascii="黑体" w:eastAsia="黑体" w:hAnsi="黑体"/>
      <w:bCs/>
      <w:sz w:val="21"/>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w:basedOn w:val="a1"/>
    <w:next w:val="a1"/>
    <w:qFormat/>
    <w:pPr>
      <w:spacing w:after="120"/>
    </w:pPr>
  </w:style>
  <w:style w:type="paragraph" w:styleId="a6">
    <w:name w:val="footer"/>
    <w:basedOn w:val="a1"/>
    <w:link w:val="Char"/>
    <w:uiPriority w:val="99"/>
    <w:qFormat/>
    <w:pPr>
      <w:tabs>
        <w:tab w:val="center" w:pos="4153"/>
        <w:tab w:val="right" w:pos="8306"/>
      </w:tabs>
      <w:snapToGrid w:val="0"/>
    </w:pPr>
    <w:rPr>
      <w:sz w:val="18"/>
      <w:szCs w:val="18"/>
    </w:rPr>
  </w:style>
  <w:style w:type="paragraph" w:styleId="a7">
    <w:name w:val="header"/>
    <w:basedOn w:val="a1"/>
    <w:link w:val="Char0"/>
    <w:qFormat/>
    <w:pPr>
      <w:pBdr>
        <w:bottom w:val="single" w:sz="6" w:space="1" w:color="auto"/>
      </w:pBdr>
      <w:tabs>
        <w:tab w:val="center" w:pos="4153"/>
        <w:tab w:val="right" w:pos="8306"/>
      </w:tabs>
      <w:snapToGrid w:val="0"/>
      <w:jc w:val="center"/>
    </w:pPr>
    <w:rPr>
      <w:sz w:val="18"/>
      <w:szCs w:val="18"/>
    </w:rPr>
  </w:style>
  <w:style w:type="paragraph" w:customStyle="1" w:styleId="10">
    <w:name w:val="列出段落1"/>
    <w:basedOn w:val="a1"/>
    <w:qFormat/>
    <w:pPr>
      <w:widowControl w:val="0"/>
      <w:ind w:firstLineChars="200" w:firstLine="420"/>
      <w:jc w:val="both"/>
    </w:pPr>
    <w:rPr>
      <w:kern w:val="2"/>
      <w:sz w:val="21"/>
      <w:szCs w:val="21"/>
    </w:rPr>
  </w:style>
  <w:style w:type="paragraph" w:customStyle="1" w:styleId="a8">
    <w:name w:val="段"/>
    <w:qFormat/>
    <w:pPr>
      <w:tabs>
        <w:tab w:val="center" w:pos="4201"/>
        <w:tab w:val="right" w:leader="dot" w:pos="9298"/>
      </w:tabs>
      <w:autoSpaceDE w:val="0"/>
      <w:autoSpaceDN w:val="0"/>
      <w:ind w:firstLineChars="200" w:firstLine="420"/>
      <w:jc w:val="both"/>
    </w:pPr>
    <w:rPr>
      <w:rFonts w:ascii="宋体"/>
      <w:sz w:val="21"/>
    </w:rPr>
  </w:style>
  <w:style w:type="paragraph" w:customStyle="1" w:styleId="a">
    <w:name w:val="一级条标题"/>
    <w:next w:val="a1"/>
    <w:qFormat/>
    <w:pPr>
      <w:numPr>
        <w:ilvl w:val="1"/>
        <w:numId w:val="1"/>
      </w:numPr>
      <w:spacing w:beforeLines="50" w:afterLines="50"/>
      <w:outlineLvl w:val="2"/>
    </w:pPr>
    <w:rPr>
      <w:rFonts w:ascii="黑体" w:eastAsia="黑体"/>
      <w:sz w:val="21"/>
      <w:szCs w:val="21"/>
    </w:rPr>
  </w:style>
  <w:style w:type="paragraph" w:customStyle="1" w:styleId="a9">
    <w:name w:val="标准文件_段"/>
    <w:qFormat/>
    <w:pPr>
      <w:autoSpaceDE w:val="0"/>
      <w:autoSpaceDN w:val="0"/>
      <w:ind w:firstLineChars="200" w:firstLine="200"/>
      <w:jc w:val="both"/>
    </w:pPr>
    <w:rPr>
      <w:rFonts w:ascii="宋体"/>
      <w:sz w:val="21"/>
    </w:rPr>
  </w:style>
  <w:style w:type="paragraph" w:customStyle="1" w:styleId="a0">
    <w:name w:val="标准文件_二级条标题"/>
    <w:next w:val="a9"/>
    <w:qFormat/>
    <w:pPr>
      <w:widowControl w:val="0"/>
      <w:numPr>
        <w:ilvl w:val="3"/>
        <w:numId w:val="2"/>
      </w:numPr>
      <w:spacing w:beforeLines="50" w:afterLines="50"/>
      <w:jc w:val="both"/>
      <w:outlineLvl w:val="2"/>
    </w:pPr>
    <w:rPr>
      <w:rFonts w:ascii="黑体" w:eastAsia="黑体"/>
      <w:sz w:val="21"/>
    </w:rPr>
  </w:style>
  <w:style w:type="character" w:customStyle="1" w:styleId="Char0">
    <w:name w:val="页眉 Char"/>
    <w:basedOn w:val="a2"/>
    <w:link w:val="a7"/>
    <w:qFormat/>
    <w:rPr>
      <w:sz w:val="18"/>
      <w:szCs w:val="18"/>
    </w:rPr>
  </w:style>
  <w:style w:type="character" w:customStyle="1" w:styleId="Char">
    <w:name w:val="页脚 Char"/>
    <w:basedOn w:val="a2"/>
    <w:link w:val="a6"/>
    <w:uiPriority w:val="99"/>
    <w:qFormat/>
    <w:rPr>
      <w:sz w:val="18"/>
      <w:szCs w:val="18"/>
    </w:rPr>
  </w:style>
  <w:style w:type="character" w:customStyle="1" w:styleId="3Char">
    <w:name w:val="标题 3 Char"/>
    <w:basedOn w:val="a2"/>
    <w:link w:val="3"/>
    <w:rsid w:val="000218B1"/>
    <w:rPr>
      <w:rFonts w:ascii="黑体" w:eastAsia="黑体" w:hAnsi="黑体"/>
      <w:bCs/>
      <w:sz w:val="21"/>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7</Pages>
  <Words>588</Words>
  <Characters>3358</Characters>
  <Application>Microsoft Office Word</Application>
  <DocSecurity>0</DocSecurity>
  <Lines>27</Lines>
  <Paragraphs>7</Paragraphs>
  <ScaleCrop>false</ScaleCrop>
  <Company>微软中国</Company>
  <LinksUpToDate>false</LinksUpToDate>
  <CharactersWithSpaces>3939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家用计算机</dc:creator>
  <cp:lastModifiedBy>马雪</cp:lastModifiedBy>
  <cp:revision>12</cp:revision>
  <dcterms:created xsi:type="dcterms:W3CDTF">2014-10-30T04:08:00Z</dcterms:created>
  <dcterms:modified xsi:type="dcterms:W3CDTF">2025-04-03T08:26:00Z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66431EBB821E47DABE246315205F38B8_13</vt:lpwstr>
  </property>
  <property fmtid="{D5CDD505-2E9C-101B-9397-08002B2CF9AE}" pid="4" name="KSOTemplateDocerSaveRecord">
    <vt:lpwstr>eyJoZGlkIjoiNDI2MGNhYWYzZGI2NTY2YThmNDBlNGQ3MTQ3OGU1MmMiLCJ1c2VySWQiOiI1NDI1MTg1NTEifQ==</vt:lpwstr>
  </property>
</Properties>
</file>