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FDC4C4">
      <w:pPr>
        <w:pStyle w:val="40"/>
        <w:spacing w:before="156" w:beforeLines="50" w:after="156" w:afterLines="50" w:line="400" w:lineRule="atLeast"/>
        <w:ind w:left="357" w:firstLine="0" w:firstLineChars="0"/>
        <w:contextualSpacing/>
        <w:jc w:val="distribute"/>
        <w:rPr>
          <w:rFonts w:hint="eastAsia" w:ascii="黑体" w:hAnsi="黑体" w:eastAsia="黑体" w:cs="宋体"/>
          <w:sz w:val="44"/>
          <w:szCs w:val="44"/>
        </w:rPr>
      </w:pPr>
    </w:p>
    <w:p w14:paraId="4012C48E">
      <w:pPr>
        <w:pStyle w:val="40"/>
        <w:spacing w:before="156" w:beforeLines="50" w:after="156" w:afterLines="50" w:line="400" w:lineRule="atLeast"/>
        <w:ind w:left="357" w:firstLine="0" w:firstLineChars="0"/>
        <w:contextualSpacing/>
        <w:jc w:val="distribute"/>
        <w:rPr>
          <w:rFonts w:ascii="黑体" w:hAnsi="黑体" w:eastAsia="黑体" w:cs="宋体"/>
          <w:sz w:val="48"/>
          <w:szCs w:val="48"/>
        </w:rPr>
      </w:pPr>
      <w:r>
        <w:rPr>
          <w:rFonts w:hint="eastAsia" w:ascii="黑体" w:hAnsi="黑体" w:eastAsia="黑体" w:cs="宋体"/>
          <w:sz w:val="48"/>
          <w:szCs w:val="48"/>
        </w:rPr>
        <w:t>绿色食品生产操作规程</w:t>
      </w:r>
    </w:p>
    <w:p w14:paraId="3AA71E51">
      <w:pPr>
        <w:pStyle w:val="40"/>
        <w:spacing w:before="156" w:beforeLines="50" w:after="156" w:afterLines="50" w:line="400" w:lineRule="atLeast"/>
        <w:ind w:left="357" w:firstLine="0" w:firstLineChars="0"/>
        <w:contextualSpacing/>
        <w:jc w:val="right"/>
        <w:rPr>
          <w:rFonts w:ascii="黑体" w:hAnsi="黑体" w:eastAsia="黑体" w:cs="宋体"/>
          <w:sz w:val="28"/>
          <w:szCs w:val="28"/>
        </w:rPr>
      </w:pPr>
      <w:r>
        <w:rPr>
          <w:rFonts w:ascii="黑体" w:hAnsi="黑体" w:eastAsia="黑体" w:cs="宋体"/>
          <w:sz w:val="28"/>
          <w:szCs w:val="28"/>
        </w:rPr>
        <w:t>LB/T</w:t>
      </w:r>
      <w:r>
        <w:rPr>
          <w:rFonts w:hint="eastAsia" w:ascii="黑体" w:hAnsi="黑体" w:eastAsia="黑体" w:cs="宋体"/>
          <w:sz w:val="28"/>
          <w:szCs w:val="28"/>
        </w:rPr>
        <w:t xml:space="preserve"> 3</w:t>
      </w:r>
      <w:r>
        <w:rPr>
          <w:rFonts w:ascii="黑体" w:hAnsi="黑体" w:eastAsia="黑体" w:cs="宋体"/>
          <w:sz w:val="28"/>
          <w:szCs w:val="28"/>
        </w:rPr>
        <w:t>36-</w:t>
      </w:r>
      <w:r>
        <w:rPr>
          <w:rFonts w:hint="eastAsia" w:ascii="黑体" w:hAnsi="黑体" w:eastAsia="黑体" w:cs="宋体"/>
          <w:sz w:val="28"/>
          <w:szCs w:val="28"/>
        </w:rPr>
        <w:t>2025</w:t>
      </w:r>
    </w:p>
    <w:p w14:paraId="041E9ECA">
      <w:pPr>
        <w:pStyle w:val="40"/>
        <w:spacing w:before="156" w:beforeLines="50" w:after="156" w:afterLines="50" w:line="400" w:lineRule="atLeast"/>
        <w:ind w:left="357" w:firstLine="0" w:firstLineChars="0"/>
        <w:contextualSpacing/>
        <w:jc w:val="right"/>
        <w:rPr>
          <w:rFonts w:ascii="黑体" w:hAnsi="黑体" w:eastAsia="黑体" w:cs="宋体"/>
          <w:sz w:val="28"/>
          <w:szCs w:val="28"/>
        </w:rPr>
      </w:pPr>
      <w:r>
        <w:rPr>
          <w:rFonts w:ascii="黑体" w:hAnsi="黑体" w:eastAsia="黑体" w:cs="宋体"/>
          <w:sz w:val="28"/>
          <w:szCs w:val="28"/>
        </w:rPr>
        <mc:AlternateContent>
          <mc:Choice Requires="wps">
            <w:drawing>
              <wp:anchor distT="0" distB="0" distL="114300" distR="114300" simplePos="0" relativeHeight="251661312" behindDoc="0" locked="0" layoutInCell="1" allowOverlap="1">
                <wp:simplePos x="0" y="0"/>
                <wp:positionH relativeFrom="column">
                  <wp:posOffset>160020</wp:posOffset>
                </wp:positionH>
                <wp:positionV relativeFrom="paragraph">
                  <wp:posOffset>76200</wp:posOffset>
                </wp:positionV>
                <wp:extent cx="5173980" cy="0"/>
                <wp:effectExtent l="7620" t="13335" r="9525" b="5715"/>
                <wp:wrapNone/>
                <wp:docPr id="2" name="直接箭头连接符 2"/>
                <wp:cNvGraphicFramePr/>
                <a:graphic xmlns:a="http://schemas.openxmlformats.org/drawingml/2006/main">
                  <a:graphicData uri="http://schemas.microsoft.com/office/word/2010/wordprocessingShape">
                    <wps:wsp>
                      <wps:cNvCnPr>
                        <a:cxnSpLocks noChangeShapeType="1"/>
                      </wps:cNvCnPr>
                      <wps:spPr bwMode="auto">
                        <a:xfrm>
                          <a:off x="0" y="0"/>
                          <a:ext cx="5173980" cy="0"/>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margin-left:12.6pt;margin-top:6pt;height:0pt;width:407.4pt;z-index:251661312;mso-width-relative:page;mso-height-relative:page;" filled="f" stroked="t" coordsize="21600,21600" o:gfxdata="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OGt9A1AAAAAgBAAAPAAAAAAAAAAEAIAAAACIAAABkcnMvZG93bnJldi54bWxQSwECFAAU&#10;AAAACACHTuJANgXMYvUBAAC+AwAADgAAAAAAAAABACAAAAAjAQAAZHJzL2Uyb0RvYy54bWxQSwUG&#10;AAAAAAYABgBZAQAAigUAAAAA&#10;">
                <v:fill on="f" focussize="0,0"/>
                <v:stroke color="#000000" joinstyle="round"/>
                <v:imagedata o:title=""/>
                <o:lock v:ext="edit" aspectratio="f"/>
              </v:shape>
            </w:pict>
          </mc:Fallback>
        </mc:AlternateContent>
      </w:r>
    </w:p>
    <w:p w14:paraId="20B40C98">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0F9115D2">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22BAB46B">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661F289B">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269140CC">
      <w:pPr>
        <w:pStyle w:val="40"/>
        <w:spacing w:before="156" w:beforeLines="50" w:after="156" w:afterLines="50"/>
        <w:ind w:left="357" w:firstLine="0" w:firstLineChars="0"/>
        <w:contextualSpacing/>
        <w:jc w:val="center"/>
        <w:rPr>
          <w:rFonts w:ascii="黑体" w:hAnsi="黑体" w:eastAsia="黑体" w:cs="宋体"/>
          <w:sz w:val="48"/>
          <w:szCs w:val="48"/>
        </w:rPr>
      </w:pPr>
    </w:p>
    <w:p w14:paraId="5BD5589C">
      <w:pPr>
        <w:pStyle w:val="40"/>
        <w:spacing w:before="156" w:beforeLines="50" w:after="156" w:afterLines="50"/>
        <w:ind w:left="357" w:firstLine="0" w:firstLineChars="0"/>
        <w:contextualSpacing/>
        <w:jc w:val="center"/>
        <w:rPr>
          <w:rFonts w:ascii="黑体" w:hAnsi="黑体" w:eastAsia="黑体" w:cs="宋体"/>
          <w:sz w:val="48"/>
          <w:szCs w:val="48"/>
        </w:rPr>
      </w:pPr>
    </w:p>
    <w:p w14:paraId="77E50893">
      <w:pPr>
        <w:pStyle w:val="40"/>
        <w:spacing w:before="156" w:beforeLines="50" w:after="156" w:afterLines="50"/>
        <w:ind w:left="357" w:firstLine="0" w:firstLineChars="0"/>
        <w:contextualSpacing/>
        <w:jc w:val="center"/>
        <w:rPr>
          <w:rFonts w:ascii="黑体" w:hAnsi="黑体" w:eastAsia="黑体" w:cs="宋体"/>
          <w:sz w:val="18"/>
          <w:szCs w:val="18"/>
        </w:rPr>
      </w:pPr>
    </w:p>
    <w:p w14:paraId="03264617">
      <w:pPr>
        <w:pStyle w:val="40"/>
        <w:spacing w:before="156" w:beforeLines="50" w:after="156" w:afterLines="50"/>
        <w:ind w:firstLine="0" w:firstLineChars="0"/>
        <w:contextualSpacing/>
        <w:jc w:val="center"/>
        <w:rPr>
          <w:rFonts w:ascii="黑体" w:hAnsi="黑体" w:eastAsia="黑体" w:cs="宋体"/>
          <w:sz w:val="48"/>
          <w:szCs w:val="48"/>
        </w:rPr>
      </w:pPr>
      <w:r>
        <w:rPr>
          <w:rFonts w:hint="eastAsia" w:ascii="黑体" w:hAnsi="黑体" w:eastAsia="黑体"/>
          <w:sz w:val="48"/>
          <w:szCs w:val="48"/>
        </w:rPr>
        <w:t>绿色食品</w:t>
      </w:r>
      <w:r>
        <w:rPr>
          <w:rFonts w:hint="eastAsia" w:ascii="黑体" w:hAnsi="黑体" w:eastAsia="黑体" w:cs="宋体"/>
          <w:sz w:val="48"/>
          <w:szCs w:val="48"/>
        </w:rPr>
        <w:t>鲜食橄榄</w:t>
      </w:r>
      <w:r>
        <w:rPr>
          <w:rFonts w:hint="eastAsia" w:ascii="黑体" w:hAnsi="黑体" w:eastAsia="黑体"/>
          <w:sz w:val="48"/>
          <w:szCs w:val="48"/>
        </w:rPr>
        <w:t>生产操作规程</w:t>
      </w:r>
    </w:p>
    <w:p w14:paraId="71BC6637">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652C7464">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28437FCF">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2E5A0153">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4EA66B3B">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530A2BAE">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06833F88">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1E83B900">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07EC8395">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75D046DC">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321EC418">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62A1147A">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3895A2FB">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bookmarkStart w:id="0" w:name="_GoBack"/>
      <w:bookmarkEnd w:id="0"/>
    </w:p>
    <w:p w14:paraId="7261FEAE">
      <w:pPr>
        <w:pStyle w:val="40"/>
        <w:spacing w:before="156" w:beforeLines="50" w:after="156" w:afterLines="50" w:line="400" w:lineRule="atLeast"/>
        <w:ind w:left="357" w:firstLine="0" w:firstLineChars="0"/>
        <w:contextualSpacing/>
        <w:jc w:val="left"/>
        <w:rPr>
          <w:rFonts w:ascii="黑体" w:hAnsi="黑体" w:eastAsia="黑体" w:cs="宋体"/>
          <w:sz w:val="28"/>
          <w:szCs w:val="28"/>
        </w:rPr>
      </w:pPr>
      <w:r>
        <w:rPr>
          <w:rFonts w:hint="eastAsia" w:ascii="黑体" w:hAnsi="黑体" w:eastAsia="黑体" w:cs="宋体"/>
          <w:sz w:val="28"/>
          <w:szCs w:val="28"/>
        </w:rPr>
        <w:t>2025-</w:t>
      </w:r>
      <w:r>
        <w:rPr>
          <w:rFonts w:hint="eastAsia" w:ascii="黑体" w:hAnsi="黑体" w:eastAsia="黑体" w:cs="宋体"/>
          <w:sz w:val="28"/>
          <w:szCs w:val="28"/>
          <w:lang w:val="en-US" w:eastAsia="zh-CN"/>
        </w:rPr>
        <w:t>04-01</w:t>
      </w:r>
      <w:r>
        <w:rPr>
          <w:rFonts w:hint="eastAsia" w:ascii="黑体" w:hAnsi="黑体" w:eastAsia="黑体" w:cs="宋体"/>
          <w:sz w:val="28"/>
          <w:szCs w:val="28"/>
        </w:rPr>
        <w:t xml:space="preserve">发布        </w:t>
      </w:r>
      <w:r>
        <w:rPr>
          <w:rFonts w:ascii="黑体" w:hAnsi="黑体" w:eastAsia="黑体" w:cs="宋体"/>
          <w:sz w:val="28"/>
          <w:szCs w:val="28"/>
        </w:rPr>
        <w:t xml:space="preserve">  </w:t>
      </w:r>
      <w:r>
        <w:rPr>
          <w:rFonts w:hint="eastAsia" w:ascii="黑体" w:hAnsi="黑体" w:eastAsia="黑体" w:cs="宋体"/>
          <w:sz w:val="28"/>
          <w:szCs w:val="28"/>
          <w:lang w:val="en-US" w:eastAsia="zh-CN"/>
        </w:rPr>
        <w:t xml:space="preserve">       </w:t>
      </w:r>
      <w:r>
        <w:rPr>
          <w:rFonts w:ascii="黑体" w:hAnsi="黑体" w:eastAsia="黑体" w:cs="宋体"/>
          <w:sz w:val="28"/>
          <w:szCs w:val="28"/>
        </w:rPr>
        <w:t xml:space="preserve">  </w:t>
      </w:r>
      <w:r>
        <w:rPr>
          <w:rFonts w:hint="eastAsia" w:ascii="黑体" w:hAnsi="黑体" w:eastAsia="黑体" w:cs="宋体"/>
          <w:sz w:val="28"/>
          <w:szCs w:val="28"/>
        </w:rPr>
        <w:t xml:space="preserve">      2025-</w:t>
      </w:r>
      <w:r>
        <w:rPr>
          <w:rFonts w:hint="eastAsia" w:ascii="黑体" w:hAnsi="黑体" w:eastAsia="黑体" w:cs="宋体"/>
          <w:sz w:val="28"/>
          <w:szCs w:val="28"/>
          <w:lang w:val="en-US" w:eastAsia="zh-CN"/>
        </w:rPr>
        <w:t>04</w:t>
      </w:r>
      <w:r>
        <w:rPr>
          <w:rFonts w:hint="eastAsia" w:ascii="黑体" w:hAnsi="黑体" w:eastAsia="黑体" w:cs="宋体"/>
          <w:sz w:val="28"/>
          <w:szCs w:val="28"/>
        </w:rPr>
        <w:t>-</w:t>
      </w:r>
      <w:r>
        <w:rPr>
          <w:rFonts w:hint="eastAsia" w:ascii="黑体" w:hAnsi="黑体" w:eastAsia="黑体" w:cs="宋体"/>
          <w:sz w:val="28"/>
          <w:szCs w:val="28"/>
          <w:lang w:val="en-US" w:eastAsia="zh-CN"/>
        </w:rPr>
        <w:t>01</w:t>
      </w:r>
      <w:r>
        <w:rPr>
          <w:rFonts w:hint="eastAsia" w:ascii="黑体" w:hAnsi="黑体" w:eastAsia="黑体" w:cs="宋体"/>
          <w:sz w:val="28"/>
          <w:szCs w:val="28"/>
        </w:rPr>
        <w:t>实施</w:t>
      </w:r>
    </w:p>
    <w:p w14:paraId="770A28DF">
      <w:pPr>
        <w:pStyle w:val="40"/>
        <w:spacing w:before="156" w:beforeLines="50" w:after="156" w:afterLines="50" w:line="400" w:lineRule="atLeast"/>
        <w:ind w:left="357" w:firstLine="0" w:firstLineChars="0"/>
        <w:contextualSpacing/>
        <w:jc w:val="left"/>
        <w:rPr>
          <w:rFonts w:ascii="黑体" w:hAnsi="黑体" w:eastAsia="黑体" w:cs="宋体"/>
          <w:sz w:val="24"/>
          <w:szCs w:val="24"/>
        </w:rPr>
      </w:pPr>
      <w:r>
        <w:rPr>
          <w:rFonts w:ascii="黑体" w:hAnsi="黑体" w:eastAsia="黑体" w:cs="宋体"/>
          <w:sz w:val="24"/>
          <w:szCs w:val="24"/>
        </w:rPr>
        <mc:AlternateContent>
          <mc:Choice Requires="wps">
            <w:drawing>
              <wp:anchor distT="0" distB="0" distL="114300" distR="114300" simplePos="0" relativeHeight="251660288" behindDoc="0" locked="0" layoutInCell="1" allowOverlap="1">
                <wp:simplePos x="0" y="0"/>
                <wp:positionH relativeFrom="column">
                  <wp:posOffset>205740</wp:posOffset>
                </wp:positionH>
                <wp:positionV relativeFrom="paragraph">
                  <wp:posOffset>114300</wp:posOffset>
                </wp:positionV>
                <wp:extent cx="4853940" cy="15240"/>
                <wp:effectExtent l="5715" t="5715" r="7620" b="7620"/>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4853940" cy="15240"/>
                        </a:xfrm>
                        <a:prstGeom prst="straightConnector1">
                          <a:avLst/>
                        </a:prstGeom>
                        <a:noFill/>
                        <a:ln w="9525">
                          <a:solidFill>
                            <a:srgbClr val="000000"/>
                          </a:solidFill>
                          <a:round/>
                        </a:ln>
                      </wps:spPr>
                      <wps:bodyPr/>
                    </wps:wsp>
                  </a:graphicData>
                </a:graphic>
              </wp:anchor>
            </w:drawing>
          </mc:Choice>
          <mc:Fallback>
            <w:pict>
              <v:shape id="_x0000_s1026" o:spid="_x0000_s1026" o:spt="32" type="#_x0000_t32" style="position:absolute;left:0pt;margin-left:16.2pt;margin-top:9pt;height:1.2pt;width:382.2pt;z-index:251660288;mso-width-relative:page;mso-height-relative:page;" filled="f" stroked="t" coordsize="21600,21600" o:gfxdata="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RqLaR1wAAAAgBAAAPAAAAAAAAAAEAIAAAACIAAABkcnMvZG93bnJldi54bWxQ&#10;SwECFAAUAAAACACHTuJAEZfEivgBAADCAwAADgAAAAAAAAABACAAAAAmAQAAZHJzL2Uyb0RvYy54&#10;bWxQSwUGAAAAAAYABgBZAQAAkAUAAAAA&#10;">
                <v:fill on="f" focussize="0,0"/>
                <v:stroke color="#000000" joinstyle="round"/>
                <v:imagedata o:title=""/>
                <o:lock v:ext="edit" aspectratio="f"/>
              </v:shape>
            </w:pict>
          </mc:Fallback>
        </mc:AlternateContent>
      </w:r>
    </w:p>
    <w:p w14:paraId="239DE404">
      <w:pPr>
        <w:pStyle w:val="40"/>
        <w:spacing w:before="156" w:beforeLines="50" w:after="156" w:afterLines="50" w:line="400" w:lineRule="atLeast"/>
        <w:ind w:left="357" w:firstLine="0" w:firstLineChars="0"/>
        <w:contextualSpacing/>
        <w:jc w:val="center"/>
        <w:rPr>
          <w:rFonts w:ascii="黑体" w:hAnsi="黑体" w:eastAsia="黑体" w:cs="宋体"/>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r>
        <w:rPr>
          <w:rFonts w:hint="eastAsia" w:ascii="华文中宋" w:hAnsi="华文中宋" w:eastAsia="华文中宋" w:cs="宋体"/>
          <w:spacing w:val="142"/>
          <w:kern w:val="0"/>
          <w:sz w:val="32"/>
          <w:szCs w:val="32"/>
          <w:fitText w:val="4480" w:id="-961935872"/>
        </w:rPr>
        <w:t>中国绿色食品发展中</w:t>
      </w:r>
      <w:r>
        <w:rPr>
          <w:rFonts w:hint="eastAsia" w:ascii="华文中宋" w:hAnsi="华文中宋" w:eastAsia="华文中宋" w:cs="宋体"/>
          <w:spacing w:val="2"/>
          <w:kern w:val="0"/>
          <w:sz w:val="32"/>
          <w:szCs w:val="32"/>
          <w:fitText w:val="4480" w:id="-961935872"/>
        </w:rPr>
        <w:t>心</w:t>
      </w:r>
      <w:r>
        <w:rPr>
          <w:rFonts w:hint="eastAsia" w:ascii="华文中宋" w:hAnsi="华文中宋" w:eastAsia="华文中宋" w:cs="宋体"/>
          <w:kern w:val="0"/>
          <w:sz w:val="32"/>
          <w:szCs w:val="32"/>
        </w:rPr>
        <w:t xml:space="preserve">  </w:t>
      </w:r>
      <w:r>
        <w:rPr>
          <w:rFonts w:hint="eastAsia" w:ascii="黑体" w:hAnsi="黑体" w:eastAsia="黑体" w:cs="宋体"/>
          <w:sz w:val="28"/>
          <w:szCs w:val="28"/>
        </w:rPr>
        <w:t>发 布</w:t>
      </w:r>
    </w:p>
    <w:p w14:paraId="1FDD755E">
      <w:pPr>
        <w:pStyle w:val="40"/>
        <w:spacing w:before="156" w:beforeLines="50" w:after="156" w:afterLines="50" w:line="400" w:lineRule="atLeast"/>
        <w:ind w:left="357" w:firstLine="0" w:firstLineChars="0"/>
        <w:contextualSpacing/>
        <w:jc w:val="center"/>
        <w:rPr>
          <w:rFonts w:ascii="黑体" w:hAnsi="黑体" w:eastAsia="黑体" w:cs="宋体"/>
          <w:sz w:val="28"/>
          <w:szCs w:val="28"/>
        </w:rPr>
      </w:pPr>
    </w:p>
    <w:p w14:paraId="124C802A">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r>
        <w:rPr>
          <w:rFonts w:hint="eastAsia" w:ascii="黑体" w:hAnsi="黑体" w:eastAsia="黑体" w:cs="宋体"/>
          <w:sz w:val="32"/>
          <w:szCs w:val="32"/>
        </w:rPr>
        <w:t>前  言</w:t>
      </w:r>
    </w:p>
    <w:p w14:paraId="6CD05CC2">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33DE3822">
      <w:pPr>
        <w:pStyle w:val="40"/>
        <w:spacing w:before="156" w:beforeLines="50" w:after="156" w:afterLines="50" w:line="400" w:lineRule="atLeast"/>
        <w:ind w:left="357" w:firstLine="0" w:firstLineChars="0"/>
        <w:contextualSpacing/>
        <w:jc w:val="center"/>
        <w:rPr>
          <w:rFonts w:ascii="黑体" w:hAnsi="黑体" w:eastAsia="黑体" w:cs="宋体"/>
          <w:sz w:val="32"/>
          <w:szCs w:val="32"/>
        </w:rPr>
      </w:pPr>
    </w:p>
    <w:p w14:paraId="157F77F0">
      <w:pPr>
        <w:pStyle w:val="40"/>
        <w:spacing w:before="156" w:beforeLines="50" w:after="156" w:afterLines="50" w:line="400" w:lineRule="atLeast"/>
        <w:ind w:firstLine="420"/>
        <w:contextualSpacing/>
        <w:jc w:val="left"/>
        <w:rPr>
          <w:rFonts w:ascii="宋体" w:hAnsi="宋体" w:cs="宋体"/>
        </w:rPr>
      </w:pPr>
      <w:r>
        <w:rPr>
          <w:rFonts w:hint="eastAsia" w:ascii="宋体" w:hAnsi="宋体" w:cs="宋体"/>
        </w:rPr>
        <w:t>本规程由中国绿色食品发展中心提出并归口。</w:t>
      </w:r>
    </w:p>
    <w:p w14:paraId="6010C123">
      <w:pPr>
        <w:pStyle w:val="40"/>
        <w:spacing w:before="156" w:beforeLines="50" w:after="156" w:afterLines="50" w:line="400" w:lineRule="atLeast"/>
        <w:ind w:firstLine="420"/>
        <w:contextualSpacing/>
        <w:jc w:val="left"/>
        <w:rPr>
          <w:rFonts w:ascii="宋体" w:hAnsi="宋体" w:cs="宋体"/>
        </w:rPr>
      </w:pPr>
      <w:r>
        <w:rPr>
          <w:rFonts w:hint="eastAsia" w:ascii="宋体" w:hAnsi="宋体" w:cs="宋体"/>
        </w:rPr>
        <w:t>本规程起草单位：福建省农业科学院农业质量标准与检测技术研究所、福建省农业科学院果树研究所、福建省绿色食品发展中心、中国绿色食品发展中心、云南省绿色食品发展中心、广东省绿色食品发展中心、广西壮族自治区绿色食品发展中心、四川省绿色食品发展中心。</w:t>
      </w:r>
    </w:p>
    <w:p w14:paraId="0F9A1C5E">
      <w:pPr>
        <w:pStyle w:val="40"/>
        <w:spacing w:before="156" w:beforeLines="50" w:after="156" w:afterLines="50" w:line="400" w:lineRule="atLeast"/>
        <w:ind w:firstLine="420"/>
        <w:contextualSpacing/>
        <w:jc w:val="left"/>
        <w:rPr>
          <w:rFonts w:ascii="宋体" w:hAnsi="宋体" w:cs="宋体"/>
          <w:sz w:val="28"/>
          <w:szCs w:val="28"/>
        </w:rPr>
      </w:pPr>
      <w:r>
        <w:rPr>
          <w:rFonts w:hint="eastAsia" w:ascii="宋体" w:hAnsi="宋体" w:cs="宋体"/>
        </w:rPr>
        <w:t>本规程主要起草人：梁启富、傅建炜、吴如健、杨芳、曾晓勇、张宪、马雪、陈丽华、钱琳刚、汤宇青、黄李琳、刘晨、胡冠华、陆燕、王艳蓉、许</w:t>
      </w:r>
      <w:r>
        <w:rPr>
          <w:rFonts w:ascii="宋体" w:hAnsi="宋体" w:cs="宋体"/>
        </w:rPr>
        <w:t>乾坤</w:t>
      </w:r>
    </w:p>
    <w:p w14:paraId="1326DF27">
      <w:pPr>
        <w:pStyle w:val="40"/>
        <w:spacing w:before="156" w:beforeLines="50" w:after="156" w:afterLines="50" w:line="400" w:lineRule="atLeast"/>
        <w:ind w:left="357" w:firstLine="0" w:firstLineChars="0"/>
        <w:contextualSpacing/>
        <w:rPr>
          <w:rFonts w:cs="宋体" w:asciiTheme="minorEastAsia" w:hAnsiTheme="minorEastAsia" w:eastAsiaTheme="minorEastAsia"/>
          <w:sz w:val="28"/>
          <w:szCs w:val="28"/>
        </w:rPr>
        <w:sectPr>
          <w:pgSz w:w="11906" w:h="16838"/>
          <w:pgMar w:top="1440" w:right="1800" w:bottom="1440" w:left="1800" w:header="851" w:footer="992" w:gutter="0"/>
          <w:cols w:space="425" w:num="1"/>
          <w:docGrid w:type="lines" w:linePitch="312" w:charSpace="0"/>
        </w:sectPr>
      </w:pPr>
    </w:p>
    <w:p w14:paraId="214CA5FF">
      <w:pPr>
        <w:pStyle w:val="40"/>
        <w:spacing w:before="156" w:beforeLines="50" w:after="156" w:afterLines="50" w:line="400" w:lineRule="atLeast"/>
        <w:ind w:firstLine="0" w:firstLineChars="0"/>
        <w:contextualSpacing/>
        <w:jc w:val="center"/>
        <w:rPr>
          <w:rFonts w:ascii="黑体" w:hAnsi="黑体" w:eastAsia="黑体"/>
          <w:sz w:val="32"/>
          <w:szCs w:val="32"/>
        </w:rPr>
      </w:pPr>
    </w:p>
    <w:p w14:paraId="56EDC1DB">
      <w:pPr>
        <w:pStyle w:val="40"/>
        <w:spacing w:before="156" w:beforeLines="50" w:after="156" w:afterLines="50" w:line="400" w:lineRule="atLeast"/>
        <w:ind w:firstLine="0" w:firstLineChars="0"/>
        <w:contextualSpacing/>
        <w:jc w:val="center"/>
        <w:rPr>
          <w:rFonts w:ascii="黑体" w:hAnsi="黑体" w:eastAsia="黑体"/>
          <w:sz w:val="32"/>
          <w:szCs w:val="32"/>
        </w:rPr>
      </w:pPr>
      <w:r>
        <w:rPr>
          <w:rFonts w:hint="eastAsia" w:ascii="黑体" w:hAnsi="黑体" w:eastAsia="黑体"/>
          <w:sz w:val="32"/>
          <w:szCs w:val="32"/>
        </w:rPr>
        <w:t>绿色食品</w:t>
      </w:r>
      <w:r>
        <w:rPr>
          <w:rFonts w:hint="eastAsia" w:ascii="黑体" w:hAnsi="黑体" w:eastAsia="黑体" w:cs="宋体"/>
          <w:sz w:val="32"/>
          <w:szCs w:val="32"/>
        </w:rPr>
        <w:t>鲜食橄榄</w:t>
      </w:r>
      <w:r>
        <w:rPr>
          <w:rFonts w:hint="eastAsia" w:ascii="黑体" w:hAnsi="黑体" w:eastAsia="黑体"/>
          <w:sz w:val="32"/>
          <w:szCs w:val="32"/>
        </w:rPr>
        <w:t>生产操作规程</w:t>
      </w:r>
    </w:p>
    <w:p w14:paraId="71BE0AC5">
      <w:pPr>
        <w:pStyle w:val="40"/>
        <w:spacing w:before="156" w:beforeLines="50" w:after="156" w:afterLines="50" w:line="400" w:lineRule="atLeast"/>
        <w:ind w:firstLine="0" w:firstLineChars="0"/>
        <w:contextualSpacing/>
        <w:jc w:val="center"/>
        <w:rPr>
          <w:rFonts w:cs="宋体" w:asciiTheme="minorEastAsia" w:hAnsiTheme="minorEastAsia" w:eastAsiaTheme="minorEastAsia"/>
          <w:sz w:val="28"/>
          <w:szCs w:val="28"/>
        </w:rPr>
      </w:pPr>
    </w:p>
    <w:p w14:paraId="0DA46A75">
      <w:pPr>
        <w:pStyle w:val="2"/>
      </w:pPr>
      <w:r>
        <w:rPr>
          <w:rFonts w:hint="eastAsia"/>
        </w:rPr>
        <w:t>1 范围</w:t>
      </w:r>
    </w:p>
    <w:p w14:paraId="7A7E7B9A">
      <w:pPr>
        <w:ind w:firstLine="420"/>
      </w:pPr>
      <w:r>
        <w:rPr>
          <w:rFonts w:hint="eastAsia"/>
        </w:rPr>
        <w:t>本规程规定了绿色食品鲜食橄榄的产地环境、品种（或苗木）选择、建园、田间管理、病虫害</w:t>
      </w:r>
      <w:r>
        <w:t>防治、</w:t>
      </w:r>
      <w:r>
        <w:rPr>
          <w:rFonts w:hint="eastAsia"/>
        </w:rPr>
        <w:t>采收与包装、储藏运输、生产废弃物的处理和生产档案管理。</w:t>
      </w:r>
    </w:p>
    <w:p w14:paraId="3D989892">
      <w:pPr>
        <w:ind w:firstLine="420"/>
      </w:pPr>
      <w:r>
        <w:rPr>
          <w:rFonts w:hint="eastAsia"/>
        </w:rPr>
        <w:t>本规程适用于福建、广东、广西、四川、云南的绿色食品鲜食橄榄的生产。</w:t>
      </w:r>
    </w:p>
    <w:p w14:paraId="2CAE5EDB">
      <w:pPr>
        <w:pStyle w:val="2"/>
      </w:pPr>
      <w:r>
        <w:rPr>
          <w:rFonts w:hint="eastAsia"/>
        </w:rPr>
        <w:t>2 规范性引用文件</w:t>
      </w:r>
    </w:p>
    <w:p w14:paraId="065E3075">
      <w:pPr>
        <w:ind w:firstLine="420"/>
      </w:pPr>
      <w:r>
        <w:rPr>
          <w:rFonts w:hint="eastAsia"/>
        </w:rPr>
        <w:t>下列文件中的内容通过文中的规范性引用而构成本规程必不可少的条款。其中，注日期的引用文件，仅该日期对应的版本适用于本规程；不注日期的引用文件，其最新版本（包括所有的修改单）适用于本规程。</w:t>
      </w:r>
    </w:p>
    <w:p w14:paraId="32C94ECC">
      <w:pPr>
        <w:ind w:firstLine="420"/>
      </w:pPr>
      <w:r>
        <w:t>NY/T 391  绿色食品 产地环境质量</w:t>
      </w:r>
    </w:p>
    <w:p w14:paraId="3A23C8F5">
      <w:pPr>
        <w:ind w:firstLine="420"/>
      </w:pPr>
      <w:r>
        <w:t>NY/T 393  绿色食品 农药使用准则</w:t>
      </w:r>
    </w:p>
    <w:p w14:paraId="2C5F7BC0">
      <w:pPr>
        <w:ind w:firstLine="420"/>
      </w:pPr>
      <w:r>
        <w:t>NY/T 394  绿色食品 肥料使用准则</w:t>
      </w:r>
    </w:p>
    <w:p w14:paraId="76D9CF18">
      <w:pPr>
        <w:ind w:firstLine="420"/>
      </w:pPr>
      <w:r>
        <w:t>NY/T 658  绿色食品 包装通用准则</w:t>
      </w:r>
    </w:p>
    <w:p w14:paraId="25551602">
      <w:pPr>
        <w:ind w:firstLine="420"/>
      </w:pPr>
      <w:r>
        <w:t>NY/T 750  绿色食品  热带、亚热带水果</w:t>
      </w:r>
    </w:p>
    <w:p w14:paraId="34DC8973">
      <w:pPr>
        <w:ind w:firstLine="420"/>
      </w:pPr>
      <w:r>
        <w:t>NY/T 1056  绿色食品  储藏运输准则</w:t>
      </w:r>
    </w:p>
    <w:p w14:paraId="2204B42B">
      <w:pPr>
        <w:pStyle w:val="2"/>
      </w:pPr>
      <w:r>
        <w:rPr>
          <w:rFonts w:hint="eastAsia"/>
        </w:rPr>
        <w:t>3 产地环境</w:t>
      </w:r>
    </w:p>
    <w:p w14:paraId="647336EF">
      <w:pPr>
        <w:ind w:firstLine="420"/>
      </w:pPr>
      <w:r>
        <w:t>年平均气温≥19</w:t>
      </w:r>
      <w:r>
        <w:rPr>
          <w:rFonts w:hint="eastAsia"/>
        </w:rPr>
        <w:t xml:space="preserve"> </w:t>
      </w:r>
      <w:r>
        <w:rPr>
          <w:rFonts w:hint="eastAsia" w:ascii="宋体" w:hAnsi="宋体" w:cs="宋体"/>
        </w:rPr>
        <w:t>℃</w:t>
      </w:r>
      <w:r>
        <w:t>，极端低温≥-3</w:t>
      </w:r>
      <w:r>
        <w:rPr>
          <w:rFonts w:hint="eastAsia"/>
        </w:rPr>
        <w:t xml:space="preserve"> </w:t>
      </w:r>
      <w:r>
        <w:rPr>
          <w:rFonts w:hint="eastAsia" w:ascii="宋体" w:hAnsi="宋体" w:cs="宋体"/>
        </w:rPr>
        <w:t>℃</w:t>
      </w:r>
      <w:r>
        <w:rPr>
          <w:rFonts w:hint="eastAsia"/>
        </w:rPr>
        <w:t>，冬季无或少霜冻地区</w:t>
      </w:r>
      <w:r>
        <w:t>，年降雨量1000</w:t>
      </w:r>
      <w:r>
        <w:rPr>
          <w:rFonts w:hint="eastAsia"/>
        </w:rPr>
        <w:t xml:space="preserve"> </w:t>
      </w:r>
      <w:r>
        <w:t>mm~2000</w:t>
      </w:r>
      <w:r>
        <w:rPr>
          <w:rFonts w:hint="eastAsia"/>
        </w:rPr>
        <w:t xml:space="preserve"> </w:t>
      </w:r>
      <w:r>
        <w:t>mm。排灌方便、土层厚度≥</w:t>
      </w:r>
      <w:r>
        <w:rPr>
          <w:rFonts w:hint="eastAsia"/>
        </w:rPr>
        <w:t xml:space="preserve"> </w:t>
      </w:r>
      <w:r>
        <w:t>1</w:t>
      </w:r>
      <w:r>
        <w:rPr>
          <w:rFonts w:hint="eastAsia"/>
        </w:rPr>
        <w:t xml:space="preserve"> </w:t>
      </w:r>
      <w:r>
        <w:t>m</w:t>
      </w:r>
      <w:r>
        <w:rPr>
          <w:rFonts w:hint="eastAsia"/>
        </w:rPr>
        <w:t>的壤土或砂壤土</w:t>
      </w:r>
      <w:r>
        <w:t>、土壤pH值在5.0~7.0</w:t>
      </w:r>
      <w:r>
        <w:rPr>
          <w:rFonts w:hint="eastAsia"/>
        </w:rPr>
        <w:t>、地下水位≤1.5 m</w:t>
      </w:r>
      <w:r>
        <w:t>的土地上种植。</w:t>
      </w:r>
      <w:r>
        <w:rPr>
          <w:rFonts w:hint="eastAsia"/>
        </w:rPr>
        <w:t>平地忌洼地，山地宜选背风向阳的南向或东南向缓坡地。</w:t>
      </w:r>
      <w:r>
        <w:t>产地环境条件应符合</w:t>
      </w:r>
      <w:r>
        <w:rPr>
          <w:bCs/>
        </w:rPr>
        <w:t>NY/T 391的规定。</w:t>
      </w:r>
    </w:p>
    <w:p w14:paraId="035DBAE2">
      <w:pPr>
        <w:pStyle w:val="2"/>
      </w:pPr>
      <w:r>
        <w:rPr>
          <w:rFonts w:hint="eastAsia"/>
        </w:rPr>
        <w:t>4 品种（或苗木）选择</w:t>
      </w:r>
    </w:p>
    <w:p w14:paraId="7DB3FC93">
      <w:pPr>
        <w:pStyle w:val="3"/>
      </w:pPr>
      <w:r>
        <w:rPr>
          <w:rFonts w:hint="eastAsia"/>
        </w:rPr>
        <w:t>4.1选择原则</w:t>
      </w:r>
    </w:p>
    <w:p w14:paraId="017FB166">
      <w:pPr>
        <w:ind w:firstLine="420"/>
      </w:pPr>
      <w:r>
        <w:rPr>
          <w:rFonts w:hint="eastAsia"/>
        </w:rPr>
        <w:t>品种的选择应以区域化和良种化为基础，结合当地自然条件，选择早结丰产、优质、抗逆性强的品种。</w:t>
      </w:r>
    </w:p>
    <w:p w14:paraId="3880FDAC">
      <w:pPr>
        <w:pStyle w:val="3"/>
      </w:pPr>
      <w:r>
        <w:rPr>
          <w:rFonts w:hint="eastAsia"/>
        </w:rPr>
        <w:t>4.2品种选择</w:t>
      </w:r>
    </w:p>
    <w:p w14:paraId="0AEDF6F3">
      <w:pPr>
        <w:ind w:firstLine="420"/>
        <w:rPr>
          <w:color w:val="000000" w:themeColor="text1"/>
          <w14:textFill>
            <w14:solidFill>
              <w14:schemeClr w14:val="tx1"/>
            </w14:solidFill>
          </w14:textFill>
        </w:rPr>
      </w:pPr>
      <w:r>
        <w:rPr>
          <w:rFonts w:hint="eastAsia"/>
        </w:rPr>
        <w:t>适合本区域种植的鲜食品种，如灵峰、清榄</w:t>
      </w:r>
      <w:r>
        <w:t>2</w:t>
      </w:r>
      <w:r>
        <w:rPr>
          <w:rFonts w:hint="eastAsia"/>
        </w:rPr>
        <w:t>号、棱尖、</w:t>
      </w:r>
      <w:r>
        <w:rPr>
          <w:rFonts w:hint="eastAsia"/>
          <w:color w:val="000000" w:themeColor="text1"/>
          <w14:textFill>
            <w14:solidFill>
              <w14:schemeClr w14:val="tx1"/>
            </w14:solidFill>
          </w14:textFill>
        </w:rPr>
        <w:t>福榄</w:t>
      </w:r>
      <w:r>
        <w:rPr>
          <w:color w:val="000000" w:themeColor="text1"/>
          <w14:textFill>
            <w14:solidFill>
              <w14:schemeClr w14:val="tx1"/>
            </w14:solidFill>
          </w14:textFill>
        </w:rPr>
        <w:t>1</w:t>
      </w:r>
      <w:r>
        <w:rPr>
          <w:rFonts w:hint="eastAsia"/>
          <w:color w:val="000000" w:themeColor="text1"/>
          <w14:textFill>
            <w14:solidFill>
              <w14:schemeClr w14:val="tx1"/>
            </w14:solidFill>
          </w14:textFill>
        </w:rPr>
        <w:t>号、黄榄、梭香二号等。</w:t>
      </w:r>
    </w:p>
    <w:p w14:paraId="26695729">
      <w:pPr>
        <w:pStyle w:val="3"/>
      </w:pPr>
      <w:r>
        <w:rPr>
          <w:rFonts w:hint="eastAsia"/>
        </w:rPr>
        <w:t>4.3苗木选择</w:t>
      </w:r>
    </w:p>
    <w:p w14:paraId="10E9CB2B">
      <w:pPr>
        <w:pStyle w:val="4"/>
      </w:pPr>
      <w:r>
        <w:rPr>
          <w:rFonts w:hint="eastAsia"/>
        </w:rPr>
        <w:t>4.3.1容器实生苗选择</w:t>
      </w:r>
    </w:p>
    <w:p w14:paraId="0D044CEA">
      <w:pPr>
        <w:ind w:firstLine="420"/>
      </w:pPr>
      <w:r>
        <w:rPr>
          <w:rFonts w:hint="eastAsia"/>
        </w:rPr>
        <w:t>主要作为嫁接砧木。育苗容器完整无破损，土团不松散；苗龄</w:t>
      </w:r>
      <w:r>
        <w:t>1</w:t>
      </w:r>
      <w:r>
        <w:rPr>
          <w:rFonts w:hint="eastAsia"/>
        </w:rPr>
        <w:t>年（含）以上，高</w:t>
      </w:r>
      <w:r>
        <w:t>40 cm~60 cm</w:t>
      </w:r>
      <w:r>
        <w:rPr>
          <w:rFonts w:hint="eastAsia"/>
        </w:rPr>
        <w:t>，土面以上</w:t>
      </w:r>
      <w:r>
        <w:t>10 cm</w:t>
      </w:r>
      <w:r>
        <w:rPr>
          <w:rFonts w:hint="eastAsia"/>
        </w:rPr>
        <w:t>处茎粗达</w:t>
      </w:r>
      <w:r>
        <w:t>0.8 cm</w:t>
      </w:r>
      <w:r>
        <w:rPr>
          <w:rFonts w:hint="eastAsia"/>
        </w:rPr>
        <w:t>以上，苗木叶色浓绿，生长发育正常，根系发达，无病虫害，无冻害。</w:t>
      </w:r>
    </w:p>
    <w:p w14:paraId="34A9474E">
      <w:pPr>
        <w:pStyle w:val="4"/>
      </w:pPr>
      <w:r>
        <w:rPr>
          <w:rFonts w:hint="eastAsia"/>
        </w:rPr>
        <w:t>4.3.2容器嫁接苗选择</w:t>
      </w:r>
    </w:p>
    <w:p w14:paraId="4A48FF46">
      <w:pPr>
        <w:ind w:firstLine="420"/>
      </w:pPr>
      <w:r>
        <w:rPr>
          <w:rFonts w:hint="eastAsia"/>
        </w:rPr>
        <w:t>选择嫁接后</w:t>
      </w:r>
      <w:r>
        <w:t>1</w:t>
      </w:r>
      <w:r>
        <w:rPr>
          <w:rFonts w:hint="eastAsia"/>
        </w:rPr>
        <w:t>年生、品种纯正、嫁接口愈合良好的健壮苗木。嫁接口上</w:t>
      </w:r>
      <w:r>
        <w:t>5 cm</w:t>
      </w:r>
      <w:r>
        <w:rPr>
          <w:rFonts w:hint="eastAsia"/>
        </w:rPr>
        <w:t>处茎粗≥1</w:t>
      </w:r>
      <w:r>
        <w:t xml:space="preserve"> cm</w:t>
      </w:r>
      <w:r>
        <w:rPr>
          <w:rFonts w:hint="eastAsia"/>
        </w:rPr>
        <w:t>，嫁接口以上苗高≥40</w:t>
      </w:r>
      <w:r>
        <w:t xml:space="preserve"> cm</w:t>
      </w:r>
      <w:r>
        <w:rPr>
          <w:rFonts w:hint="eastAsia"/>
        </w:rPr>
        <w:t>。其他要求与容器实生苗相同。</w:t>
      </w:r>
    </w:p>
    <w:p w14:paraId="36514A44">
      <w:pPr>
        <w:pStyle w:val="2"/>
      </w:pPr>
      <w:r>
        <w:rPr>
          <w:rFonts w:hint="eastAsia"/>
        </w:rPr>
        <w:t>5 建园</w:t>
      </w:r>
    </w:p>
    <w:p w14:paraId="79441C46">
      <w:pPr>
        <w:pStyle w:val="3"/>
      </w:pPr>
      <w:r>
        <w:rPr>
          <w:rFonts w:hint="eastAsia"/>
        </w:rPr>
        <w:t>5.1整地</w:t>
      </w:r>
    </w:p>
    <w:p w14:paraId="479FC1EC">
      <w:pPr>
        <w:ind w:firstLine="420"/>
      </w:pPr>
      <w:r>
        <w:rPr>
          <w:rFonts w:hint="eastAsia"/>
        </w:rPr>
        <w:t xml:space="preserve">定植前2个月整地挖穴，穴规格1 m </w:t>
      </w:r>
      <w:r>
        <w:t>×</w:t>
      </w:r>
      <w:r>
        <w:rPr>
          <w:rFonts w:hint="eastAsia"/>
        </w:rPr>
        <w:t xml:space="preserve"> 1 m </w:t>
      </w:r>
      <w:r>
        <w:t>×</w:t>
      </w:r>
      <w:r>
        <w:rPr>
          <w:rFonts w:hint="eastAsia"/>
        </w:rPr>
        <w:t xml:space="preserve"> 1 m，或深0.8 m~1 m壕沟，每穴回填农作物秸秆5 kg ~10 kg、石灰0.5 kg、腐熟粪肥20 kg~30 kg、过磷酸钙1.5 kg及饼肥2kg，与表层土搅拌均匀后填入穴中，待穴土沉实后再定植。</w:t>
      </w:r>
    </w:p>
    <w:p w14:paraId="2E16EF4D">
      <w:pPr>
        <w:pStyle w:val="3"/>
      </w:pPr>
      <w:r>
        <w:rPr>
          <w:rFonts w:hint="eastAsia"/>
        </w:rPr>
        <w:t>5.2定植时间</w:t>
      </w:r>
    </w:p>
    <w:p w14:paraId="36A4E7A9">
      <w:pPr>
        <w:ind w:firstLine="420"/>
      </w:pPr>
      <w:r>
        <w:rPr>
          <w:rFonts w:hint="eastAsia"/>
        </w:rPr>
        <w:t>容器苗除高温季节均可定植。</w:t>
      </w:r>
    </w:p>
    <w:p w14:paraId="2CBED3A4">
      <w:pPr>
        <w:pStyle w:val="3"/>
      </w:pPr>
      <w:r>
        <w:rPr>
          <w:rFonts w:hint="eastAsia"/>
        </w:rPr>
        <w:t>5.3定植密度</w:t>
      </w:r>
    </w:p>
    <w:p w14:paraId="3B2E5A08">
      <w:pPr>
        <w:ind w:firstLine="420"/>
      </w:pPr>
      <w:r>
        <w:rPr>
          <w:rFonts w:hint="eastAsia"/>
        </w:rPr>
        <w:t>山地果园定植</w:t>
      </w:r>
      <w:r>
        <w:t>25</w:t>
      </w:r>
      <w:r>
        <w:rPr>
          <w:rFonts w:hint="eastAsia"/>
        </w:rPr>
        <w:t>株</w:t>
      </w:r>
      <w:r>
        <w:t>~30</w:t>
      </w:r>
      <w:r>
        <w:rPr>
          <w:rFonts w:hint="eastAsia"/>
        </w:rPr>
        <w:t>株</w:t>
      </w:r>
      <w:r>
        <w:t>/</w:t>
      </w:r>
      <w:r>
        <w:rPr>
          <w:rFonts w:hint="eastAsia"/>
        </w:rPr>
        <w:t xml:space="preserve">亩，株行距（4 m </w:t>
      </w:r>
      <w:r>
        <w:t>×</w:t>
      </w:r>
      <w:r>
        <w:rPr>
          <w:rFonts w:hint="eastAsia"/>
        </w:rPr>
        <w:t xml:space="preserve"> 5.5 m）~（4.5 m </w:t>
      </w:r>
      <w:r>
        <w:t>×</w:t>
      </w:r>
      <w:r>
        <w:rPr>
          <w:rFonts w:hint="eastAsia"/>
        </w:rPr>
        <w:t xml:space="preserve"> 6 m）；平地果园定植</w:t>
      </w:r>
      <w:r>
        <w:t>20</w:t>
      </w:r>
      <w:r>
        <w:rPr>
          <w:rFonts w:hint="eastAsia"/>
        </w:rPr>
        <w:t>株</w:t>
      </w:r>
      <w:r>
        <w:t>~25</w:t>
      </w:r>
      <w:r>
        <w:rPr>
          <w:rFonts w:hint="eastAsia"/>
        </w:rPr>
        <w:t>株</w:t>
      </w:r>
      <w:r>
        <w:t>/</w:t>
      </w:r>
      <w:r>
        <w:rPr>
          <w:rFonts w:hint="eastAsia"/>
        </w:rPr>
        <w:t xml:space="preserve">亩，株行距（4.5 m </w:t>
      </w:r>
      <w:r>
        <w:t>×</w:t>
      </w:r>
      <w:r>
        <w:rPr>
          <w:rFonts w:hint="eastAsia"/>
        </w:rPr>
        <w:t xml:space="preserve"> 6 m）~（5.5 m </w:t>
      </w:r>
      <w:r>
        <w:t>×</w:t>
      </w:r>
      <w:r>
        <w:rPr>
          <w:rFonts w:hint="eastAsia"/>
        </w:rPr>
        <w:t xml:space="preserve"> 6 m）。</w:t>
      </w:r>
    </w:p>
    <w:p w14:paraId="4EA4F309">
      <w:pPr>
        <w:pStyle w:val="3"/>
      </w:pPr>
      <w:r>
        <w:rPr>
          <w:rFonts w:hint="eastAsia"/>
        </w:rPr>
        <w:t>5.4定植</w:t>
      </w:r>
    </w:p>
    <w:p w14:paraId="112CF382">
      <w:pPr>
        <w:ind w:firstLine="420"/>
      </w:pPr>
      <w:r>
        <w:rPr>
          <w:rFonts w:hint="eastAsia"/>
        </w:rPr>
        <w:t>将苗木的枝叶适度修剪，把容器苗土团上的育苗容器剥离，保持土团不松散，放入穴中，定植深度以容器土表面与地面平齐为宜，浇透定根水，覆盖地膜或稻草。</w:t>
      </w:r>
    </w:p>
    <w:p w14:paraId="77D1D2F8">
      <w:pPr>
        <w:pStyle w:val="3"/>
      </w:pPr>
      <w:r>
        <w:rPr>
          <w:rFonts w:hint="eastAsia"/>
        </w:rPr>
        <w:t>5.5小树或大树嫁接</w:t>
      </w:r>
    </w:p>
    <w:p w14:paraId="1DFDC1F9">
      <w:pPr>
        <w:ind w:firstLine="420"/>
      </w:pPr>
      <w:r>
        <w:rPr>
          <w:rFonts w:hint="eastAsia"/>
        </w:rPr>
        <w:t>在容器实生苗定植两年后、树干粗度达到3 cm~5 cm、早春抽新梢前，选择合适品种接穗嫁接。嫁接前一周对砧木在距离地面</w:t>
      </w:r>
      <w:r>
        <w:t>40</w:t>
      </w:r>
      <w:r>
        <w:rPr>
          <w:rFonts w:hint="eastAsia"/>
        </w:rPr>
        <w:t xml:space="preserve"> </w:t>
      </w:r>
      <w:r>
        <w:t>cm ~50</w:t>
      </w:r>
      <w:r>
        <w:rPr>
          <w:rFonts w:hint="eastAsia"/>
        </w:rPr>
        <w:t xml:space="preserve"> </w:t>
      </w:r>
      <w:r>
        <w:t>cm</w:t>
      </w:r>
      <w:r>
        <w:rPr>
          <w:rFonts w:hint="eastAsia"/>
        </w:rPr>
        <w:t>处进行截干处理，嫁接当年应及时抹除砧木上萌发出的侧芽。</w:t>
      </w:r>
    </w:p>
    <w:p w14:paraId="305A6B86">
      <w:pPr>
        <w:ind w:firstLine="420"/>
      </w:pPr>
      <w:r>
        <w:rPr>
          <w:rFonts w:hint="eastAsia"/>
        </w:rPr>
        <w:t>宜在春梢未萌发前2月~3月进行高接换种。可采用多主枝高接，在2级~3级枝上截枝后嫁接，也可在主干50 cm~100 cm处矮截培育1~2年以上新梢嫁接。</w:t>
      </w:r>
    </w:p>
    <w:p w14:paraId="32C2C898">
      <w:pPr>
        <w:ind w:firstLine="420"/>
      </w:pPr>
      <w:r>
        <w:rPr>
          <w:rFonts w:hint="eastAsia"/>
        </w:rPr>
        <w:t>嫁接后20 d，检查成活率、抹除砧木芽，嫁接成活半年以后解除绑带。</w:t>
      </w:r>
    </w:p>
    <w:p w14:paraId="2273E7F0">
      <w:pPr>
        <w:pStyle w:val="2"/>
      </w:pPr>
      <w:r>
        <w:rPr>
          <w:rFonts w:hint="eastAsia"/>
        </w:rPr>
        <w:t>6 田间管理</w:t>
      </w:r>
    </w:p>
    <w:p w14:paraId="3771179C">
      <w:pPr>
        <w:pStyle w:val="3"/>
      </w:pPr>
      <w:r>
        <w:rPr>
          <w:rFonts w:hint="eastAsia"/>
        </w:rPr>
        <w:t>6.1土壤管理</w:t>
      </w:r>
    </w:p>
    <w:p w14:paraId="4314E9CD">
      <w:pPr>
        <w:pStyle w:val="4"/>
      </w:pPr>
      <w:r>
        <w:rPr>
          <w:rFonts w:hint="eastAsia"/>
        </w:rPr>
        <w:t>6.1.1深翻松土</w:t>
      </w:r>
    </w:p>
    <w:p w14:paraId="684868FA">
      <w:pPr>
        <w:ind w:firstLine="420"/>
        <w:rPr>
          <w:rFonts w:ascii="宋体" w:hAnsi="宋体" w:cs="宋体"/>
        </w:rPr>
      </w:pPr>
      <w:r>
        <w:t>秋季果实采摘后进行深翻松土。在树冠滴水线附近挖环状沟或平行沟</w:t>
      </w:r>
      <w:r>
        <w:rPr>
          <w:rFonts w:hint="eastAsia"/>
        </w:rPr>
        <w:t>或放射状沟</w:t>
      </w:r>
      <w:r>
        <w:t>，沟宽30 cm~50 cm</w:t>
      </w:r>
      <w:r>
        <w:rPr>
          <w:rFonts w:hint="eastAsia"/>
        </w:rPr>
        <w:t>，</w:t>
      </w:r>
      <w:r>
        <w:t>深30 cm~50 cm。土壤回填时混入腐熟有机肥，然后充分灌水。</w:t>
      </w:r>
      <w:r>
        <w:rPr>
          <w:rFonts w:hint="eastAsia" w:ascii="宋体" w:hAnsi="宋体" w:cs="宋体"/>
        </w:rPr>
        <w:t>在采果后，全园范围内进行中耕松土除草，深度</w:t>
      </w:r>
      <w:r>
        <w:t>10 cm ~20 cm</w:t>
      </w:r>
      <w:r>
        <w:rPr>
          <w:rFonts w:hint="eastAsia" w:ascii="宋体" w:hAnsi="宋体" w:cs="宋体"/>
        </w:rPr>
        <w:t>。</w:t>
      </w:r>
    </w:p>
    <w:p w14:paraId="6BBD0551">
      <w:pPr>
        <w:pStyle w:val="4"/>
      </w:pPr>
      <w:r>
        <w:rPr>
          <w:rFonts w:hint="eastAsia"/>
        </w:rPr>
        <w:t>6.1.2培土覆盖</w:t>
      </w:r>
    </w:p>
    <w:p w14:paraId="24FDB8A7">
      <w:pPr>
        <w:ind w:firstLine="420"/>
      </w:pPr>
      <w:r>
        <w:t>高温、干旱季节，用农作物秸秆或绿肥等覆盖树盘，厚度10</w:t>
      </w:r>
      <w:r>
        <w:rPr>
          <w:rFonts w:hint="eastAsia"/>
        </w:rPr>
        <w:t xml:space="preserve"> </w:t>
      </w:r>
      <w:r>
        <w:t>cm~20</w:t>
      </w:r>
      <w:r>
        <w:rPr>
          <w:rFonts w:hint="eastAsia"/>
        </w:rPr>
        <w:t xml:space="preserve"> </w:t>
      </w:r>
      <w:r>
        <w:t>cm</w:t>
      </w:r>
      <w:r>
        <w:rPr>
          <w:rFonts w:hint="eastAsia"/>
        </w:rPr>
        <w:t>。</w:t>
      </w:r>
    </w:p>
    <w:p w14:paraId="3B41C95B">
      <w:pPr>
        <w:pStyle w:val="4"/>
      </w:pPr>
      <w:r>
        <w:rPr>
          <w:rFonts w:hint="eastAsia"/>
        </w:rPr>
        <w:t>6.1.3间作套种</w:t>
      </w:r>
    </w:p>
    <w:p w14:paraId="54C1651B">
      <w:pPr>
        <w:ind w:firstLine="420"/>
      </w:pPr>
      <w:r>
        <w:rPr>
          <w:rFonts w:hint="eastAsia"/>
        </w:rPr>
        <w:t>橄榄果园可以间作套种绿肥、大豆等。</w:t>
      </w:r>
    </w:p>
    <w:p w14:paraId="21CF521A">
      <w:pPr>
        <w:pStyle w:val="3"/>
      </w:pPr>
      <w:r>
        <w:rPr>
          <w:rFonts w:hint="eastAsia"/>
        </w:rPr>
        <w:t>6.2水分管理</w:t>
      </w:r>
    </w:p>
    <w:p w14:paraId="7BB1720A">
      <w:pPr>
        <w:ind w:firstLine="420"/>
      </w:pPr>
      <w:r>
        <w:rPr>
          <w:rFonts w:hint="eastAsia"/>
        </w:rPr>
        <w:t>灌溉时期根据土壤墒情确定。果园及四周开好排水沟，在多雨季节及时排水。遇到长时间的高温干旱天气，要及时灌溉。灌溉水质应符合NY/T</w:t>
      </w:r>
      <w:r>
        <w:t xml:space="preserve"> </w:t>
      </w:r>
      <w:r>
        <w:rPr>
          <w:rFonts w:hint="eastAsia"/>
        </w:rPr>
        <w:t>391的要求。</w:t>
      </w:r>
    </w:p>
    <w:p w14:paraId="2759D59C">
      <w:pPr>
        <w:pStyle w:val="3"/>
      </w:pPr>
      <w:r>
        <w:rPr>
          <w:rFonts w:hint="eastAsia"/>
        </w:rPr>
        <w:t>6.3肥料管理</w:t>
      </w:r>
    </w:p>
    <w:p w14:paraId="0C838EF6">
      <w:pPr>
        <w:pStyle w:val="4"/>
        <w:rPr>
          <w:rFonts w:ascii="宋体" w:hAnsi="宋体" w:cs="宋体"/>
        </w:rPr>
      </w:pPr>
      <w:r>
        <w:rPr>
          <w:rFonts w:hint="eastAsia"/>
        </w:rPr>
        <w:t>6.3.1施肥原则</w:t>
      </w:r>
    </w:p>
    <w:p w14:paraId="5D5DB04C">
      <w:pPr>
        <w:ind w:firstLine="420"/>
      </w:pPr>
      <w:r>
        <w:rPr>
          <w:rFonts w:hint="eastAsia"/>
        </w:rPr>
        <w:t>肥料应以有机肥为主，无机肥为辅，根据树龄、树势、结果量和土壤肥力等科学确定施肥量和施肥时期。肥料使用应符合</w:t>
      </w:r>
      <w:r>
        <w:t>NY/T 394规定。</w:t>
      </w:r>
    </w:p>
    <w:p w14:paraId="5816AC97">
      <w:pPr>
        <w:pStyle w:val="4"/>
        <w:rPr>
          <w:rFonts w:ascii="宋体" w:hAnsi="宋体" w:cs="宋体"/>
        </w:rPr>
      </w:pPr>
      <w:r>
        <w:rPr>
          <w:rFonts w:hint="eastAsia"/>
        </w:rPr>
        <w:t>6.3.2 幼树施肥</w:t>
      </w:r>
    </w:p>
    <w:p w14:paraId="6B46A7F7">
      <w:pPr>
        <w:ind w:firstLine="420"/>
        <w:rPr>
          <w:color w:val="FF0000"/>
        </w:rPr>
      </w:pPr>
      <w:r>
        <w:rPr>
          <w:rFonts w:hint="eastAsia"/>
        </w:rPr>
        <w:t>幼树定植后，每</w:t>
      </w:r>
      <w:r>
        <w:t>2</w:t>
      </w:r>
      <w:r>
        <w:rPr>
          <w:rFonts w:hint="eastAsia"/>
        </w:rPr>
        <w:t>个月施肥1次。其中冬季施1次基肥，其余宜在春、夏、秋梢生长前后追肥。在树冠滴水线外侧开环状沟或平行沟或放射状沟施肥，每次单株施腐熟农家肥</w:t>
      </w:r>
      <w:r>
        <w:t>3 kg~5 kg</w:t>
      </w:r>
      <w:r>
        <w:rPr>
          <w:rFonts w:hint="eastAsia"/>
        </w:rPr>
        <w:t>、复合肥（N:P:K=15:15:15）0.1 kg~0.25 kg。</w:t>
      </w:r>
    </w:p>
    <w:p w14:paraId="5A891E4B">
      <w:pPr>
        <w:pStyle w:val="4"/>
        <w:rPr>
          <w:rFonts w:ascii="宋体" w:hAnsi="宋体" w:cs="宋体"/>
        </w:rPr>
      </w:pPr>
      <w:r>
        <w:rPr>
          <w:rFonts w:hint="eastAsia"/>
        </w:rPr>
        <w:t>6.3.3 结果树施肥</w:t>
      </w:r>
    </w:p>
    <w:p w14:paraId="504EA3B2">
      <w:pPr>
        <w:ind w:firstLine="420"/>
      </w:pPr>
      <w:r>
        <w:t>开花前，每株施复合肥</w:t>
      </w:r>
      <w:r>
        <w:rPr>
          <w:rFonts w:hint="eastAsia"/>
        </w:rPr>
        <w:t>（N:P:K=15:15:15）</w:t>
      </w:r>
      <w:r>
        <w:t>0.5</w:t>
      </w:r>
      <w:r>
        <w:rPr>
          <w:rFonts w:hint="eastAsia"/>
        </w:rPr>
        <w:t xml:space="preserve"> </w:t>
      </w:r>
      <w:r>
        <w:t>kg、硼砂0.8</w:t>
      </w:r>
      <w:r>
        <w:rPr>
          <w:rFonts w:hint="eastAsia"/>
        </w:rPr>
        <w:t xml:space="preserve"> </w:t>
      </w:r>
      <w:r>
        <w:t>kg，于树冠滴水线开环</w:t>
      </w:r>
      <w:r>
        <w:rPr>
          <w:rFonts w:hint="eastAsia"/>
        </w:rPr>
        <w:t>状</w:t>
      </w:r>
      <w:r>
        <w:t>沟或平行沟</w:t>
      </w:r>
      <w:r>
        <w:rPr>
          <w:rFonts w:hint="eastAsia"/>
        </w:rPr>
        <w:t>或放射状沟</w:t>
      </w:r>
      <w:r>
        <w:t>施用。幼果期，喷施</w:t>
      </w:r>
      <w:r>
        <w:rPr>
          <w:rFonts w:hint="eastAsia"/>
        </w:rPr>
        <w:t>0.2%</w:t>
      </w:r>
      <w:r>
        <w:t>磷酸二氢钾、</w:t>
      </w:r>
      <w:r>
        <w:rPr>
          <w:rFonts w:hint="eastAsia"/>
        </w:rPr>
        <w:t>0.1%</w:t>
      </w:r>
      <w:r>
        <w:t>硼砂叶面肥，树冠滴水线环</w:t>
      </w:r>
      <w:r>
        <w:rPr>
          <w:rFonts w:hint="eastAsia"/>
        </w:rPr>
        <w:t>状</w:t>
      </w:r>
      <w:r>
        <w:t>沟或平行沟</w:t>
      </w:r>
      <w:r>
        <w:rPr>
          <w:rFonts w:hint="eastAsia"/>
        </w:rPr>
        <w:t>或放射状沟</w:t>
      </w:r>
      <w:r>
        <w:t>施复合肥</w:t>
      </w:r>
      <w:r>
        <w:rPr>
          <w:rFonts w:hint="eastAsia"/>
        </w:rPr>
        <w:t>（N:P:K=15:15:15）</w:t>
      </w:r>
      <w:r>
        <w:t>0.5</w:t>
      </w:r>
      <w:r>
        <w:rPr>
          <w:rFonts w:hint="eastAsia"/>
        </w:rPr>
        <w:t xml:space="preserve"> </w:t>
      </w:r>
      <w:r>
        <w:t>kg/株。采果后，</w:t>
      </w:r>
      <w:r>
        <w:rPr>
          <w:rFonts w:hint="eastAsia"/>
        </w:rPr>
        <w:t>冬季基肥</w:t>
      </w:r>
      <w:r>
        <w:t>每株树冠滴水线环</w:t>
      </w:r>
      <w:r>
        <w:rPr>
          <w:rFonts w:hint="eastAsia"/>
        </w:rPr>
        <w:t>状</w:t>
      </w:r>
      <w:r>
        <w:t>沟或平行沟</w:t>
      </w:r>
      <w:r>
        <w:rPr>
          <w:rFonts w:hint="eastAsia"/>
        </w:rPr>
        <w:t>或放射状沟</w:t>
      </w:r>
      <w:r>
        <w:t>施用腐熟</w:t>
      </w:r>
      <w:r>
        <w:rPr>
          <w:rFonts w:hint="eastAsia" w:ascii="宋体" w:hAnsi="宋体" w:cs="宋体"/>
        </w:rPr>
        <w:t>有机</w:t>
      </w:r>
      <w:r>
        <w:t>肥20</w:t>
      </w:r>
      <w:r>
        <w:rPr>
          <w:rFonts w:hint="eastAsia"/>
        </w:rPr>
        <w:t xml:space="preserve"> </w:t>
      </w:r>
      <w:r>
        <w:t>kg~40</w:t>
      </w:r>
      <w:r>
        <w:rPr>
          <w:rFonts w:hint="eastAsia"/>
        </w:rPr>
        <w:t xml:space="preserve"> </w:t>
      </w:r>
      <w:r>
        <w:t>kg、饼肥5</w:t>
      </w:r>
      <w:r>
        <w:rPr>
          <w:rFonts w:hint="eastAsia"/>
        </w:rPr>
        <w:t xml:space="preserve"> </w:t>
      </w:r>
      <w:r>
        <w:t>kg~10</w:t>
      </w:r>
      <w:r>
        <w:rPr>
          <w:rFonts w:hint="eastAsia"/>
        </w:rPr>
        <w:t xml:space="preserve"> </w:t>
      </w:r>
      <w:r>
        <w:t>kg</w:t>
      </w:r>
      <w:r>
        <w:rPr>
          <w:rFonts w:hint="eastAsia"/>
        </w:rPr>
        <w:t>。</w:t>
      </w:r>
    </w:p>
    <w:p w14:paraId="0557B51E">
      <w:pPr>
        <w:pStyle w:val="3"/>
      </w:pPr>
      <w:r>
        <w:rPr>
          <w:rFonts w:hint="eastAsia"/>
        </w:rPr>
        <w:t>6.4整形修剪</w:t>
      </w:r>
    </w:p>
    <w:p w14:paraId="09842E37">
      <w:pPr>
        <w:pStyle w:val="4"/>
      </w:pPr>
      <w:r>
        <w:rPr>
          <w:rFonts w:hint="eastAsia"/>
        </w:rPr>
        <w:t>6.4.1整形</w:t>
      </w:r>
    </w:p>
    <w:p w14:paraId="4E244CE0">
      <w:pPr>
        <w:ind w:firstLine="420"/>
      </w:pPr>
      <w:r>
        <w:rPr>
          <w:rFonts w:hint="eastAsia"/>
        </w:rPr>
        <w:t>嫁接苗定植后，在距离地面1 m左右处短截定干。定干后，靠近中上部、不同方向的3~4个芽培育一级主枝，其他芽抹除。在定干当年秋梢生长停止时，进行短截，保留一级主枝长50 cm~80 cm；第二年在主枝上保留2~3个芽培育二级主枝，其他芽全部抹除；在二级主枝上培育结果枝组。</w:t>
      </w:r>
    </w:p>
    <w:p w14:paraId="63D46A54">
      <w:pPr>
        <w:pStyle w:val="4"/>
      </w:pPr>
      <w:r>
        <w:rPr>
          <w:rFonts w:hint="eastAsia"/>
        </w:rPr>
        <w:t>6.4.2修剪</w:t>
      </w:r>
    </w:p>
    <w:p w14:paraId="67DE69F4">
      <w:pPr>
        <w:ind w:firstLine="420"/>
      </w:pPr>
      <w:r>
        <w:rPr>
          <w:rFonts w:hint="eastAsia"/>
        </w:rPr>
        <w:t>对幼树实行“轻剪、少疏枝”。选好骨干枝、延长枝，进行中截，促发长枝。对初果树以疏除中上部壮旺枝、无用枝、徒长枝和纤细枝为主，培育中小结果枝组。对盛果树以疏剪为主，剪除枯枝、弱枝、密闭交叉枝、直立性生长和病虫枝，选留4~5层侧生水平枝，短截主干顶部，培养健壮秋梢结果母枝。</w:t>
      </w:r>
    </w:p>
    <w:p w14:paraId="6123291F">
      <w:pPr>
        <w:pStyle w:val="3"/>
      </w:pPr>
      <w:r>
        <w:rPr>
          <w:rFonts w:hint="eastAsia"/>
        </w:rPr>
        <w:t>6.5花果管理</w:t>
      </w:r>
    </w:p>
    <w:p w14:paraId="6B35C84F">
      <w:pPr>
        <w:pStyle w:val="4"/>
      </w:pPr>
      <w:r>
        <w:rPr>
          <w:rFonts w:hint="eastAsia"/>
        </w:rPr>
        <w:t>6.5.1促花</w:t>
      </w:r>
    </w:p>
    <w:p w14:paraId="030E621C">
      <w:pPr>
        <w:ind w:firstLine="420"/>
      </w:pPr>
      <w:r>
        <w:rPr>
          <w:rFonts w:hint="eastAsia"/>
        </w:rPr>
        <w:t>培育健壮秋梢。</w:t>
      </w:r>
      <w:r>
        <w:t>在12月中下旬，进行控水、环割、断根等处理。</w:t>
      </w:r>
    </w:p>
    <w:p w14:paraId="57D3CCD6">
      <w:pPr>
        <w:pStyle w:val="4"/>
      </w:pPr>
      <w:r>
        <w:rPr>
          <w:rFonts w:hint="eastAsia"/>
        </w:rPr>
        <w:t>6.5.2保果</w:t>
      </w:r>
    </w:p>
    <w:p w14:paraId="3AF9A7F6">
      <w:pPr>
        <w:ind w:firstLine="420"/>
      </w:pPr>
      <w:r>
        <w:rPr>
          <w:rFonts w:hint="eastAsia"/>
        </w:rPr>
        <w:t>谢花后，可喷施0.1%硼砂加0.2%磷酸二氢钾溶液1~2次。</w:t>
      </w:r>
    </w:p>
    <w:p w14:paraId="6A52EAC3">
      <w:pPr>
        <w:pStyle w:val="4"/>
      </w:pPr>
      <w:r>
        <w:rPr>
          <w:rFonts w:hint="eastAsia"/>
        </w:rPr>
        <w:t>6.5.3疏果</w:t>
      </w:r>
    </w:p>
    <w:p w14:paraId="2027A065">
      <w:pPr>
        <w:ind w:firstLine="420"/>
      </w:pPr>
      <w:r>
        <w:rPr>
          <w:rFonts w:hint="eastAsia"/>
        </w:rPr>
        <w:t>生理落果后，疏除畸形果、病虫果、过密果、小果、机械损伤果等。</w:t>
      </w:r>
    </w:p>
    <w:p w14:paraId="1A06B4C1">
      <w:pPr>
        <w:pStyle w:val="3"/>
      </w:pPr>
      <w:r>
        <w:rPr>
          <w:rFonts w:hint="eastAsia"/>
        </w:rPr>
        <w:t>6.6防冻</w:t>
      </w:r>
    </w:p>
    <w:p w14:paraId="03E841A4">
      <w:pPr>
        <w:ind w:firstLine="420"/>
      </w:pPr>
      <w:r>
        <w:rPr>
          <w:rFonts w:hint="eastAsia"/>
        </w:rPr>
        <w:t>在冬季霜期来临前，进行树干涂白，在根颈部位进行培土，寒流时进行全园熏烟。</w:t>
      </w:r>
    </w:p>
    <w:p w14:paraId="38D2E6A4">
      <w:pPr>
        <w:pStyle w:val="2"/>
      </w:pPr>
      <w:r>
        <w:rPr>
          <w:rFonts w:hint="eastAsia"/>
        </w:rPr>
        <w:t>7</w:t>
      </w:r>
      <w:r>
        <w:t xml:space="preserve"> </w:t>
      </w:r>
      <w:r>
        <w:rPr>
          <w:rFonts w:hint="eastAsia"/>
        </w:rPr>
        <w:t>病虫害防治</w:t>
      </w:r>
    </w:p>
    <w:p w14:paraId="21AEC1DA">
      <w:pPr>
        <w:pStyle w:val="3"/>
      </w:pPr>
      <w:r>
        <w:rPr>
          <w:rFonts w:hint="eastAsia"/>
        </w:rPr>
        <w:t>7.1 防治原则</w:t>
      </w:r>
    </w:p>
    <w:p w14:paraId="54E380E9">
      <w:pPr>
        <w:ind w:firstLine="420"/>
      </w:pPr>
      <w:r>
        <w:rPr>
          <w:rFonts w:hint="eastAsia"/>
        </w:rPr>
        <w:t>贯彻“预防为主、综合防治”的植保方针，按照病虫害的发生规律和经济阈值，科学、综合、协调利用农业、物理、生物和化学防治等手段，有效防控病虫害。农药使用应符合</w:t>
      </w:r>
      <w:r>
        <w:t>NY/T</w:t>
      </w:r>
      <w:r>
        <w:rPr>
          <w:rFonts w:hint="eastAsia"/>
        </w:rPr>
        <w:t xml:space="preserve"> </w:t>
      </w:r>
      <w:r>
        <w:t>393的规定。</w:t>
      </w:r>
    </w:p>
    <w:p w14:paraId="3BB23DBE">
      <w:pPr>
        <w:pStyle w:val="3"/>
      </w:pPr>
      <w:r>
        <w:rPr>
          <w:rFonts w:hint="eastAsia"/>
        </w:rPr>
        <w:t>7.2常见病虫害</w:t>
      </w:r>
    </w:p>
    <w:p w14:paraId="148B1555">
      <w:pPr>
        <w:ind w:firstLine="420"/>
      </w:pPr>
      <w:r>
        <w:rPr>
          <w:rFonts w:hint="eastAsia"/>
        </w:rPr>
        <w:t>常见的虫害有橄榄星室木虱、蛀果野螟、锄须丛螟、皮细蛾、蚜虫、红蜘蛛、斜纹夜蛾、天牛、白蚁等；常见的病害有灰斑病、叶斑病、炭疽病、煤烟病、孔雀斑病、日灼病、黑星病、梢枯病等。</w:t>
      </w:r>
    </w:p>
    <w:p w14:paraId="6E7A0CDC">
      <w:pPr>
        <w:pStyle w:val="3"/>
      </w:pPr>
      <w:r>
        <w:rPr>
          <w:rFonts w:hint="eastAsia"/>
        </w:rPr>
        <w:t>7.3防治措施</w:t>
      </w:r>
    </w:p>
    <w:p w14:paraId="16FD1EEA">
      <w:pPr>
        <w:pStyle w:val="4"/>
      </w:pPr>
      <w:r>
        <w:rPr>
          <w:rFonts w:hint="eastAsia"/>
        </w:rPr>
        <w:t>7.3.1农业防治</w:t>
      </w:r>
    </w:p>
    <w:p w14:paraId="402BFCE1">
      <w:pPr>
        <w:ind w:firstLine="420"/>
      </w:pPr>
      <w:r>
        <w:rPr>
          <w:rFonts w:hint="eastAsia"/>
        </w:rPr>
        <w:t>园内间作或生草栽培，加强水肥管理，不偏施氮肥，多施有机肥，增强树势，合理修剪，适期放梢。冬季翻土，冬季清园。剪除病虫枝叶、过密枝梢和内膛枝，清除果园内的枯枝落叶，刮除老翘树皮，并集中处理，减少果园病虫源。</w:t>
      </w:r>
      <w:r>
        <w:rPr>
          <w:rFonts w:hint="eastAsia" w:cs="Times New Roman"/>
          <w:color w:val="000000"/>
          <w:kern w:val="0"/>
          <w:szCs w:val="21"/>
        </w:rPr>
        <w:t>幼果期</w:t>
      </w:r>
      <w:r>
        <w:rPr>
          <w:rFonts w:hint="eastAsia"/>
        </w:rPr>
        <w:t>日灼病，整形修剪遮蔽幼果，或喷水雾降温。生长季节后期控氮、控水防徒长，雨季排水。</w:t>
      </w:r>
    </w:p>
    <w:p w14:paraId="03B206B6">
      <w:pPr>
        <w:pStyle w:val="4"/>
      </w:pPr>
      <w:r>
        <w:rPr>
          <w:rFonts w:hint="eastAsia"/>
        </w:rPr>
        <w:t>7.3.2物理防治</w:t>
      </w:r>
    </w:p>
    <w:p w14:paraId="0DFD7C07">
      <w:pPr>
        <w:ind w:firstLine="420"/>
      </w:pPr>
      <w:r>
        <w:rPr>
          <w:rFonts w:hint="eastAsia"/>
        </w:rPr>
        <w:t>利用杀虫灯诱杀天牛、蛀果野螟、皮细蛾、斜纹夜蛾、白蚁等害虫；糖醋液诱集蛀果野螟、皮细蛾、斜纹夜蛾等鳞翅目害虫；悬挂黄板引诱蚜虫、橄榄星室木虱等刺吸害虫；树干涂白，防止害虫在树干上越冬；刮除树干及树盘白蚁道的蚁土，循蚁道寻找蚁巢并捣毁；人工捕杀天牛和皮细蛾幼虫，摘除蛀果野螟、皮细蛾、斜纹夜蛾等鳞翅目害虫卵块。</w:t>
      </w:r>
    </w:p>
    <w:p w14:paraId="160C80B9">
      <w:pPr>
        <w:pStyle w:val="4"/>
      </w:pPr>
      <w:r>
        <w:rPr>
          <w:rFonts w:hint="eastAsia"/>
        </w:rPr>
        <w:t>7.3.3生物防治</w:t>
      </w:r>
    </w:p>
    <w:p w14:paraId="7CEFECDA">
      <w:pPr>
        <w:ind w:firstLine="420"/>
      </w:pPr>
      <w:r>
        <w:rPr>
          <w:rFonts w:hint="eastAsia"/>
        </w:rPr>
        <w:t>果园内保持适当绿草覆盖，</w:t>
      </w:r>
      <w:r>
        <w:rPr>
          <w:rFonts w:cs="Times New Roman"/>
          <w:color w:val="000000"/>
          <w:kern w:val="0"/>
          <w:szCs w:val="21"/>
        </w:rPr>
        <w:t>在园内空地及四周种霍香荆等，</w:t>
      </w:r>
      <w:r>
        <w:rPr>
          <w:rFonts w:hint="eastAsia"/>
        </w:rPr>
        <w:t>保障</w:t>
      </w:r>
      <w:r>
        <w:rPr>
          <w:rFonts w:cs="Times New Roman"/>
          <w:color w:val="000000"/>
          <w:kern w:val="0"/>
          <w:szCs w:val="21"/>
        </w:rPr>
        <w:t>瓢虫、草蛉等</w:t>
      </w:r>
      <w:r>
        <w:rPr>
          <w:rFonts w:hint="eastAsia"/>
        </w:rPr>
        <w:t>天敌生物生存条件。人工释放生防菌、捕食性天敌和寄生性天敌，提倡以螨治螨、以虫治虫或以菌治虫，如释放异色瓢虫、七星瓢虫、捕食螨、寄生蜂等天敌生物；利用性外信息素引诱蛾类成虫。</w:t>
      </w:r>
    </w:p>
    <w:p w14:paraId="12A5EA91">
      <w:pPr>
        <w:pStyle w:val="4"/>
      </w:pPr>
      <w:r>
        <w:rPr>
          <w:rFonts w:hint="eastAsia"/>
        </w:rPr>
        <w:t>7.3.4化学防治</w:t>
      </w:r>
    </w:p>
    <w:p w14:paraId="73838B72">
      <w:pPr>
        <w:ind w:firstLine="420"/>
      </w:pPr>
      <w:r>
        <w:t>根据病虫害发生情况进行化学防治，预防为主，严格控制用药量、防治对象、使用时间、使用方法和安全间隔期等，轮换使用农药，花期不宜喷药。</w:t>
      </w:r>
      <w:r>
        <w:rPr>
          <w:rFonts w:hint="eastAsia"/>
        </w:rPr>
        <w:t>绿色食品</w:t>
      </w:r>
      <w:r>
        <w:t>橄榄主要病虫害防治推荐农药使用方案参见附录A。</w:t>
      </w:r>
    </w:p>
    <w:p w14:paraId="0538CC4B">
      <w:pPr>
        <w:pStyle w:val="2"/>
      </w:pPr>
      <w:r>
        <w:t>8</w:t>
      </w:r>
      <w:r>
        <w:rPr>
          <w:rFonts w:hint="eastAsia"/>
        </w:rPr>
        <w:t xml:space="preserve"> 采收与包装</w:t>
      </w:r>
    </w:p>
    <w:p w14:paraId="624B4BCE">
      <w:pPr>
        <w:pStyle w:val="3"/>
      </w:pPr>
      <w:r>
        <w:t>8</w:t>
      </w:r>
      <w:r>
        <w:rPr>
          <w:rFonts w:hint="eastAsia"/>
        </w:rPr>
        <w:t>.1采收时间</w:t>
      </w:r>
    </w:p>
    <w:p w14:paraId="5AA58F79">
      <w:pPr>
        <w:ind w:firstLine="420"/>
      </w:pPr>
      <w:r>
        <w:rPr>
          <w:rFonts w:cs="Times New Roman"/>
        </w:rPr>
        <w:t>10</w:t>
      </w:r>
      <w:r>
        <w:rPr>
          <w:rFonts w:hint="eastAsia" w:cs="Times New Roman"/>
        </w:rPr>
        <w:t>月—</w:t>
      </w:r>
      <w:r>
        <w:rPr>
          <w:rFonts w:cs="Times New Roman"/>
        </w:rPr>
        <w:t>12月</w:t>
      </w:r>
      <w:r>
        <w:rPr>
          <w:rFonts w:hint="eastAsia"/>
        </w:rPr>
        <w:t>，根据品种成熟期确定，鲜食橄榄应在充分成熟时采收，避免阴雨天和有露水时采摘。产品质量应符合</w:t>
      </w:r>
      <w:r>
        <w:rPr>
          <w:rFonts w:hint="eastAsia" w:cs="Times New Roman"/>
        </w:rPr>
        <w:t>NY/T 750</w:t>
      </w:r>
      <w:r>
        <w:rPr>
          <w:rFonts w:hint="eastAsia"/>
        </w:rPr>
        <w:t>的规定。</w:t>
      </w:r>
    </w:p>
    <w:p w14:paraId="0522105A">
      <w:pPr>
        <w:pStyle w:val="3"/>
      </w:pPr>
      <w:r>
        <w:t>8</w:t>
      </w:r>
      <w:r>
        <w:rPr>
          <w:rFonts w:hint="eastAsia"/>
        </w:rPr>
        <w:t>.2采收方法</w:t>
      </w:r>
    </w:p>
    <w:p w14:paraId="46318C35">
      <w:pPr>
        <w:ind w:firstLine="420"/>
      </w:pPr>
      <w:r>
        <w:rPr>
          <w:rFonts w:hint="eastAsia"/>
        </w:rPr>
        <w:t>鲜食橄榄进行人工采摘，采下鲜果避免阳光直射久晒，宜放阴凉处。</w:t>
      </w:r>
    </w:p>
    <w:p w14:paraId="5C77CA91">
      <w:pPr>
        <w:pStyle w:val="3"/>
      </w:pPr>
      <w:r>
        <w:t>8</w:t>
      </w:r>
      <w:r>
        <w:rPr>
          <w:rFonts w:hint="eastAsia"/>
        </w:rPr>
        <w:t>.3包装</w:t>
      </w:r>
    </w:p>
    <w:p w14:paraId="572C5287">
      <w:pPr>
        <w:ind w:firstLine="420"/>
      </w:pPr>
      <w:r>
        <w:rPr>
          <w:rFonts w:hint="eastAsia"/>
        </w:rPr>
        <w:t>果实采收后，用清水进行洗果，并充分晾干。水质应符合</w:t>
      </w:r>
      <w:r>
        <w:rPr>
          <w:rFonts w:hint="eastAsia" w:cs="Times New Roman"/>
        </w:rPr>
        <w:t>NY/T 391</w:t>
      </w:r>
      <w:r>
        <w:rPr>
          <w:rFonts w:hint="eastAsia"/>
        </w:rPr>
        <w:t>的规定。根据不同品种等级规格及时进行分级、包装。包装应符合</w:t>
      </w:r>
      <w:r>
        <w:rPr>
          <w:rFonts w:hint="eastAsia" w:cs="Times New Roman"/>
        </w:rPr>
        <w:t>NY/T 658</w:t>
      </w:r>
      <w:r>
        <w:rPr>
          <w:rFonts w:hint="eastAsia"/>
        </w:rPr>
        <w:t>的规定。</w:t>
      </w:r>
    </w:p>
    <w:p w14:paraId="651D5C7B">
      <w:pPr>
        <w:pStyle w:val="2"/>
      </w:pPr>
      <w:r>
        <w:t>9</w:t>
      </w:r>
      <w:r>
        <w:rPr>
          <w:rFonts w:hint="eastAsia"/>
        </w:rPr>
        <w:t xml:space="preserve"> 储藏运输</w:t>
      </w:r>
    </w:p>
    <w:p w14:paraId="5902C9EC">
      <w:pPr>
        <w:ind w:firstLine="420"/>
      </w:pPr>
      <w:r>
        <w:rPr>
          <w:rFonts w:hint="eastAsia"/>
        </w:rPr>
        <w:t>鲜果置于</w:t>
      </w:r>
      <w:r>
        <w:rPr>
          <w:rFonts w:cs="Times New Roman"/>
        </w:rPr>
        <w:t>冷库中</w:t>
      </w:r>
      <w:r>
        <w:rPr>
          <w:rFonts w:hint="eastAsia"/>
        </w:rPr>
        <w:t>保存，空气</w:t>
      </w:r>
      <w:r>
        <w:rPr>
          <w:rFonts w:cs="Times New Roman"/>
        </w:rPr>
        <w:t>相对湿度80%~90%，温度8</w:t>
      </w:r>
      <w:r>
        <w:rPr>
          <w:rFonts w:hint="eastAsia" w:cs="Times New Roman"/>
        </w:rPr>
        <w:t xml:space="preserve"> </w:t>
      </w:r>
      <w:r>
        <w:rPr>
          <w:rFonts w:hint="eastAsia" w:ascii="宋体" w:hAnsi="宋体" w:cs="宋体"/>
        </w:rPr>
        <w:t>℃</w:t>
      </w:r>
      <w:r>
        <w:rPr>
          <w:rFonts w:cs="Times New Roman"/>
        </w:rPr>
        <w:t>~10</w:t>
      </w:r>
      <w:r>
        <w:rPr>
          <w:rFonts w:hint="eastAsia" w:cs="Times New Roman"/>
        </w:rPr>
        <w:t xml:space="preserve"> </w:t>
      </w:r>
      <w:r>
        <w:rPr>
          <w:rFonts w:hint="eastAsia" w:ascii="宋体" w:hAnsi="宋体" w:cs="宋体"/>
        </w:rPr>
        <w:t>℃</w:t>
      </w:r>
      <w:r>
        <w:rPr>
          <w:rFonts w:hint="eastAsia"/>
        </w:rPr>
        <w:t>。</w:t>
      </w:r>
      <w:r>
        <w:t>运输工具应适用于橄榄</w:t>
      </w:r>
      <w:r>
        <w:rPr>
          <w:rFonts w:hint="eastAsia"/>
        </w:rPr>
        <w:t>鲜果</w:t>
      </w:r>
      <w:r>
        <w:t>运输，无污染，</w:t>
      </w:r>
      <w:r>
        <w:rPr>
          <w:rFonts w:hint="eastAsia"/>
        </w:rPr>
        <w:t>且</w:t>
      </w:r>
      <w:r>
        <w:t>不得与其他有毒有害物品混装混运。</w:t>
      </w:r>
      <w:r>
        <w:rPr>
          <w:rFonts w:hint="eastAsia"/>
        </w:rPr>
        <w:t>储藏运输应符合</w:t>
      </w:r>
      <w:r>
        <w:rPr>
          <w:rFonts w:hint="eastAsia" w:cs="Times New Roman"/>
        </w:rPr>
        <w:t>NY/T 1056的规定</w:t>
      </w:r>
      <w:r>
        <w:rPr>
          <w:rFonts w:hint="eastAsia"/>
        </w:rPr>
        <w:t>。</w:t>
      </w:r>
    </w:p>
    <w:p w14:paraId="040D10B1">
      <w:pPr>
        <w:pStyle w:val="2"/>
      </w:pPr>
      <w:r>
        <w:t>10</w:t>
      </w:r>
      <w:r>
        <w:rPr>
          <w:rFonts w:hint="eastAsia"/>
        </w:rPr>
        <w:t xml:space="preserve"> 生产废弃物的处理</w:t>
      </w:r>
    </w:p>
    <w:p w14:paraId="51EAC571">
      <w:pPr>
        <w:ind w:firstLine="420"/>
      </w:pPr>
      <w:r>
        <w:rPr>
          <w:rFonts w:hint="eastAsia"/>
        </w:rPr>
        <w:t>清园时将枯枝、落叶、杂草、树皮及修剪下来的枝梢等集中清理出果园，进行无害化处理。使用的地膜、生产中使用的肥料袋等废弃物，按指定地点存放，并定期处理。生产中使用的农药包装瓶（袋）等废弃物集中收置，统一处理。</w:t>
      </w:r>
    </w:p>
    <w:p w14:paraId="3055EBF9">
      <w:pPr>
        <w:pStyle w:val="2"/>
      </w:pPr>
      <w:r>
        <w:rPr>
          <w:rFonts w:hint="eastAsia"/>
        </w:rPr>
        <w:t>1</w:t>
      </w:r>
      <w:r>
        <w:t>1</w:t>
      </w:r>
      <w:r>
        <w:rPr>
          <w:rFonts w:hint="eastAsia"/>
        </w:rPr>
        <w:t xml:space="preserve"> 生产档案管理</w:t>
      </w:r>
    </w:p>
    <w:p w14:paraId="42CC75EE">
      <w:pPr>
        <w:ind w:firstLine="420"/>
      </w:pPr>
      <w:r>
        <w:rPr>
          <w:rFonts w:hint="eastAsia"/>
        </w:rPr>
        <w:t>针对绿色食品鲜食橄榄的生产过程，建立相应的生产档案，重点记录产地环境气候条件、生产技术、肥水管理、病虫害的发生和防治、采收及采后处理等情况，记录保存</w:t>
      </w:r>
      <w:r>
        <w:rPr>
          <w:rFonts w:cs="Times New Roman"/>
        </w:rPr>
        <w:t>3年</w:t>
      </w:r>
      <w:r>
        <w:rPr>
          <w:rFonts w:hint="eastAsia"/>
        </w:rPr>
        <w:t>以上，做到鲜食橄榄生产可追溯。</w:t>
      </w:r>
    </w:p>
    <w:p w14:paraId="2B5D320B">
      <w:pPr>
        <w:widowControl/>
        <w:spacing w:after="160" w:line="278" w:lineRule="auto"/>
        <w:ind w:firstLine="420"/>
        <w:jc w:val="left"/>
        <w:rPr>
          <w:rFonts w:ascii="宋体" w:hAnsi="宋体" w:cs="宋体"/>
          <w:szCs w:val="21"/>
        </w:rPr>
      </w:pPr>
      <w:r>
        <w:rPr>
          <w:rFonts w:ascii="宋体" w:hAnsi="宋体" w:cs="宋体"/>
          <w:szCs w:val="21"/>
        </w:rPr>
        <w:br w:type="page"/>
      </w:r>
    </w:p>
    <w:p w14:paraId="61BEEB04">
      <w:pPr>
        <w:pStyle w:val="2"/>
        <w:jc w:val="center"/>
      </w:pPr>
      <w:r>
        <w:rPr>
          <w:rFonts w:hint="eastAsia"/>
        </w:rPr>
        <w:t>附录A</w:t>
      </w:r>
    </w:p>
    <w:p w14:paraId="48831B4B">
      <w:pPr>
        <w:spacing w:line="240" w:lineRule="auto"/>
        <w:ind w:firstLine="0" w:firstLineChars="0"/>
        <w:jc w:val="center"/>
        <w:rPr>
          <w:rFonts w:ascii="黑体" w:eastAsia="黑体" w:cs="Times New Roman"/>
          <w:kern w:val="0"/>
          <w:szCs w:val="21"/>
        </w:rPr>
      </w:pPr>
      <w:r>
        <w:rPr>
          <w:rFonts w:hint="eastAsia" w:ascii="黑体" w:eastAsia="黑体" w:cs="Times New Roman"/>
          <w:kern w:val="0"/>
          <w:szCs w:val="21"/>
        </w:rPr>
        <w:t>（资料性附录）</w:t>
      </w:r>
    </w:p>
    <w:p w14:paraId="4131A0F2">
      <w:pPr>
        <w:spacing w:line="240" w:lineRule="auto"/>
        <w:ind w:firstLine="0" w:firstLineChars="0"/>
        <w:jc w:val="center"/>
        <w:rPr>
          <w:rFonts w:ascii="黑体" w:eastAsia="黑体" w:cs="Times New Roman"/>
          <w:kern w:val="0"/>
          <w:szCs w:val="21"/>
        </w:rPr>
      </w:pPr>
      <w:r>
        <w:rPr>
          <w:rFonts w:hint="eastAsia" w:ascii="黑体" w:eastAsia="黑体" w:cs="Times New Roman"/>
          <w:kern w:val="0"/>
          <w:szCs w:val="21"/>
        </w:rPr>
        <w:t>绿色食品鲜食橄榄生产主要病虫害防治推荐</w:t>
      </w:r>
      <w:r>
        <w:rPr>
          <w:rFonts w:ascii="黑体" w:eastAsia="黑体" w:cs="Times New Roman"/>
          <w:kern w:val="0"/>
          <w:szCs w:val="21"/>
        </w:rPr>
        <w:t>农药使用方案</w:t>
      </w:r>
    </w:p>
    <w:p w14:paraId="796F78B0">
      <w:pPr>
        <w:pStyle w:val="44"/>
        <w:adjustRightInd w:val="0"/>
        <w:snapToGrid w:val="0"/>
        <w:ind w:firstLine="0" w:firstLineChars="0"/>
        <w:rPr>
          <w:rFonts w:ascii="黑体" w:hAnsi="黑体" w:eastAsia="黑体" w:cs="黑体"/>
        </w:rPr>
      </w:pPr>
    </w:p>
    <w:p w14:paraId="24DB276D">
      <w:pPr>
        <w:spacing w:line="400" w:lineRule="atLeast"/>
        <w:ind w:firstLine="420"/>
        <w:contextualSpacing/>
        <w:jc w:val="left"/>
        <w:rPr>
          <w:rFonts w:ascii="宋体" w:hAnsi="宋体" w:cs="黑体"/>
        </w:rPr>
      </w:pPr>
      <w:r>
        <w:rPr>
          <w:rFonts w:hint="eastAsia" w:ascii="宋体" w:hAnsi="宋体" w:cs="Times New Roman"/>
          <w:kern w:val="0"/>
          <w:szCs w:val="21"/>
        </w:rPr>
        <w:t>绿色食品鲜食橄榄生产主要病虫害防治推荐农药使用方案见表A</w:t>
      </w:r>
      <w:r>
        <w:rPr>
          <w:rFonts w:ascii="宋体" w:hAnsi="宋体" w:cs="Times New Roman"/>
          <w:kern w:val="0"/>
          <w:szCs w:val="21"/>
        </w:rPr>
        <w:t>.1</w:t>
      </w:r>
      <w:r>
        <w:rPr>
          <w:rFonts w:hint="eastAsia" w:ascii="宋体" w:hAnsi="宋体" w:cs="Times New Roman"/>
          <w:kern w:val="0"/>
          <w:szCs w:val="21"/>
        </w:rPr>
        <w:t>。</w:t>
      </w:r>
    </w:p>
    <w:p w14:paraId="487D39C8">
      <w:pPr>
        <w:spacing w:line="400" w:lineRule="atLeast"/>
        <w:ind w:firstLine="420"/>
        <w:contextualSpacing/>
        <w:jc w:val="center"/>
        <w:rPr>
          <w:rFonts w:ascii="黑体" w:hAnsi="黑体" w:eastAsia="黑体" w:cs="黑体"/>
        </w:rPr>
      </w:pPr>
      <w:r>
        <w:rPr>
          <w:rFonts w:hint="eastAsia" w:ascii="黑体" w:eastAsia="黑体" w:cs="Times New Roman"/>
          <w:kern w:val="0"/>
          <w:szCs w:val="21"/>
        </w:rPr>
        <w:t>表A</w:t>
      </w:r>
      <w:r>
        <w:rPr>
          <w:rFonts w:ascii="黑体" w:eastAsia="黑体" w:cs="Times New Roman"/>
          <w:kern w:val="0"/>
          <w:szCs w:val="21"/>
        </w:rPr>
        <w:t>.1</w:t>
      </w:r>
      <w:r>
        <w:rPr>
          <w:rFonts w:hint="eastAsia" w:ascii="黑体" w:eastAsia="黑体" w:cs="Times New Roman"/>
          <w:kern w:val="0"/>
          <w:szCs w:val="21"/>
        </w:rPr>
        <w:t xml:space="preserve">  绿色食品鲜食橄榄生产主要病虫害防治推荐</w:t>
      </w:r>
      <w:r>
        <w:rPr>
          <w:rFonts w:ascii="黑体" w:eastAsia="黑体" w:cs="Times New Roman"/>
          <w:kern w:val="0"/>
          <w:szCs w:val="21"/>
        </w:rPr>
        <w:t>农药使用方案</w:t>
      </w:r>
    </w:p>
    <w:tbl>
      <w:tblPr>
        <w:tblStyle w:val="18"/>
        <w:tblW w:w="84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276"/>
        <w:gridCol w:w="1701"/>
        <w:gridCol w:w="1469"/>
        <w:gridCol w:w="1116"/>
        <w:gridCol w:w="1157"/>
      </w:tblGrid>
      <w:tr w14:paraId="2D860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696" w:type="dxa"/>
            <w:vAlign w:val="center"/>
          </w:tcPr>
          <w:p w14:paraId="46DF0698">
            <w:pPr>
              <w:widowControl/>
              <w:spacing w:line="240" w:lineRule="auto"/>
              <w:ind w:firstLine="0" w:firstLineChars="0"/>
              <w:jc w:val="center"/>
              <w:rPr>
                <w:rFonts w:ascii="宋体" w:hAnsi="宋体" w:cstheme="majorEastAsia"/>
                <w:b/>
                <w:kern w:val="0"/>
                <w:szCs w:val="21"/>
              </w:rPr>
            </w:pPr>
            <w:r>
              <w:rPr>
                <w:rFonts w:hint="eastAsia" w:ascii="宋体" w:hAnsi="宋体" w:cstheme="majorEastAsia"/>
                <w:b/>
                <w:kern w:val="0"/>
                <w:szCs w:val="21"/>
              </w:rPr>
              <w:t>防治对象</w:t>
            </w:r>
          </w:p>
        </w:tc>
        <w:tc>
          <w:tcPr>
            <w:tcW w:w="1276" w:type="dxa"/>
            <w:vAlign w:val="center"/>
          </w:tcPr>
          <w:p w14:paraId="42FC5CBC">
            <w:pPr>
              <w:widowControl/>
              <w:spacing w:line="240" w:lineRule="auto"/>
              <w:ind w:firstLine="0" w:firstLineChars="0"/>
              <w:jc w:val="center"/>
              <w:rPr>
                <w:rFonts w:ascii="宋体" w:hAnsi="宋体" w:cstheme="majorEastAsia"/>
                <w:b/>
                <w:kern w:val="0"/>
                <w:szCs w:val="21"/>
              </w:rPr>
            </w:pPr>
            <w:r>
              <w:rPr>
                <w:rFonts w:hint="eastAsia" w:ascii="宋体" w:hAnsi="宋体" w:cstheme="majorEastAsia"/>
                <w:b/>
                <w:kern w:val="0"/>
                <w:szCs w:val="21"/>
              </w:rPr>
              <w:t>防治时期</w:t>
            </w:r>
          </w:p>
        </w:tc>
        <w:tc>
          <w:tcPr>
            <w:tcW w:w="1701" w:type="dxa"/>
            <w:vAlign w:val="center"/>
          </w:tcPr>
          <w:p w14:paraId="18935274">
            <w:pPr>
              <w:widowControl/>
              <w:spacing w:line="240" w:lineRule="auto"/>
              <w:ind w:firstLine="0" w:firstLineChars="0"/>
              <w:jc w:val="center"/>
              <w:rPr>
                <w:rFonts w:ascii="宋体" w:hAnsi="宋体" w:cstheme="majorEastAsia"/>
                <w:b/>
                <w:kern w:val="0"/>
                <w:szCs w:val="21"/>
              </w:rPr>
            </w:pPr>
            <w:r>
              <w:rPr>
                <w:rFonts w:hint="eastAsia" w:ascii="宋体" w:hAnsi="宋体" w:cstheme="majorEastAsia"/>
                <w:b/>
                <w:kern w:val="0"/>
                <w:szCs w:val="21"/>
              </w:rPr>
              <w:t>农药名称</w:t>
            </w:r>
          </w:p>
        </w:tc>
        <w:tc>
          <w:tcPr>
            <w:tcW w:w="1469" w:type="dxa"/>
            <w:vAlign w:val="center"/>
          </w:tcPr>
          <w:p w14:paraId="0AF80C9B">
            <w:pPr>
              <w:widowControl/>
              <w:spacing w:line="240" w:lineRule="auto"/>
              <w:ind w:firstLine="0" w:firstLineChars="0"/>
              <w:jc w:val="center"/>
              <w:rPr>
                <w:rFonts w:ascii="宋体" w:hAnsi="宋体" w:cstheme="majorEastAsia"/>
                <w:b/>
                <w:kern w:val="0"/>
                <w:szCs w:val="21"/>
              </w:rPr>
            </w:pPr>
            <w:r>
              <w:rPr>
                <w:rFonts w:hint="eastAsia" w:ascii="宋体" w:hAnsi="宋体" w:cstheme="majorEastAsia"/>
                <w:b/>
                <w:kern w:val="0"/>
                <w:szCs w:val="21"/>
              </w:rPr>
              <w:t>使用量</w:t>
            </w:r>
          </w:p>
        </w:tc>
        <w:tc>
          <w:tcPr>
            <w:tcW w:w="1116" w:type="dxa"/>
            <w:vAlign w:val="center"/>
          </w:tcPr>
          <w:p w14:paraId="6F1B6A30">
            <w:pPr>
              <w:widowControl/>
              <w:spacing w:line="240" w:lineRule="auto"/>
              <w:ind w:firstLine="0" w:firstLineChars="0"/>
              <w:jc w:val="center"/>
              <w:rPr>
                <w:rFonts w:ascii="宋体" w:hAnsi="宋体" w:cstheme="majorEastAsia"/>
                <w:b/>
                <w:kern w:val="0"/>
                <w:szCs w:val="21"/>
              </w:rPr>
            </w:pPr>
            <w:r>
              <w:rPr>
                <w:rFonts w:hint="eastAsia" w:ascii="宋体" w:hAnsi="宋体" w:cstheme="majorEastAsia"/>
                <w:b/>
                <w:kern w:val="0"/>
                <w:szCs w:val="21"/>
              </w:rPr>
              <w:t>使用方法</w:t>
            </w:r>
          </w:p>
        </w:tc>
        <w:tc>
          <w:tcPr>
            <w:tcW w:w="1157" w:type="dxa"/>
            <w:vAlign w:val="center"/>
          </w:tcPr>
          <w:p w14:paraId="6AF5C7CC">
            <w:pPr>
              <w:widowControl/>
              <w:spacing w:line="240" w:lineRule="auto"/>
              <w:ind w:firstLine="0" w:firstLineChars="0"/>
              <w:jc w:val="center"/>
              <w:rPr>
                <w:rFonts w:ascii="宋体" w:hAnsi="宋体" w:cstheme="majorEastAsia"/>
                <w:b/>
                <w:kern w:val="0"/>
                <w:szCs w:val="21"/>
              </w:rPr>
            </w:pPr>
            <w:r>
              <w:rPr>
                <w:rFonts w:hint="eastAsia" w:ascii="宋体" w:hAnsi="宋体" w:cstheme="majorEastAsia"/>
                <w:b/>
                <w:kern w:val="0"/>
                <w:szCs w:val="21"/>
              </w:rPr>
              <w:t>安全间隔期（天）</w:t>
            </w:r>
          </w:p>
        </w:tc>
      </w:tr>
      <w:tr w14:paraId="0A030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696" w:type="dxa"/>
            <w:vAlign w:val="center"/>
          </w:tcPr>
          <w:p w14:paraId="7F02D40E">
            <w:pPr>
              <w:spacing w:line="240" w:lineRule="auto"/>
              <w:ind w:firstLine="0" w:firstLineChars="0"/>
              <w:jc w:val="center"/>
              <w:rPr>
                <w:rFonts w:ascii="宋体" w:hAnsi="宋体" w:cstheme="majorEastAsia"/>
                <w:kern w:val="0"/>
                <w:szCs w:val="21"/>
              </w:rPr>
            </w:pPr>
            <w:r>
              <w:rPr>
                <w:rFonts w:hint="eastAsia" w:cs="Times New Roman"/>
                <w:color w:val="000000"/>
                <w:kern w:val="0"/>
                <w:szCs w:val="21"/>
                <w14:ligatures w14:val="standardContextual"/>
              </w:rPr>
              <w:t>炭疽</w:t>
            </w:r>
            <w:r>
              <w:rPr>
                <w:rFonts w:cs="Times New Roman"/>
                <w:color w:val="000000"/>
                <w:kern w:val="0"/>
                <w:szCs w:val="21"/>
                <w14:ligatures w14:val="standardContextual"/>
              </w:rPr>
              <w:t>病、</w:t>
            </w:r>
            <w:r>
              <w:rPr>
                <w:rFonts w:hint="eastAsia" w:cs="Times New Roman"/>
                <w:color w:val="000000"/>
                <w:kern w:val="0"/>
                <w:szCs w:val="21"/>
                <w14:ligatures w14:val="standardContextual"/>
              </w:rPr>
              <w:t>煤烟</w:t>
            </w:r>
            <w:r>
              <w:rPr>
                <w:rFonts w:cs="Times New Roman"/>
                <w:color w:val="000000"/>
                <w:kern w:val="0"/>
                <w:szCs w:val="21"/>
                <w14:ligatures w14:val="standardContextual"/>
              </w:rPr>
              <w:t>病等叶部病害</w:t>
            </w:r>
          </w:p>
        </w:tc>
        <w:tc>
          <w:tcPr>
            <w:tcW w:w="1276" w:type="dxa"/>
            <w:vAlign w:val="center"/>
          </w:tcPr>
          <w:p w14:paraId="01364102">
            <w:pPr>
              <w:spacing w:line="240" w:lineRule="auto"/>
              <w:ind w:firstLine="0" w:firstLineChars="0"/>
              <w:jc w:val="center"/>
              <w:rPr>
                <w:rFonts w:ascii="宋体" w:hAnsi="宋体" w:cstheme="majorEastAsia"/>
                <w:kern w:val="0"/>
                <w:szCs w:val="21"/>
              </w:rPr>
            </w:pPr>
            <w:r>
              <w:rPr>
                <w:rFonts w:hint="eastAsia" w:cs="Times New Roman"/>
                <w:color w:val="000000"/>
                <w:kern w:val="0"/>
                <w:szCs w:val="21"/>
                <w14:ligatures w14:val="standardContextual"/>
              </w:rPr>
              <w:t>发病初期</w:t>
            </w:r>
          </w:p>
        </w:tc>
        <w:tc>
          <w:tcPr>
            <w:tcW w:w="1701" w:type="dxa"/>
            <w:vAlign w:val="center"/>
          </w:tcPr>
          <w:p w14:paraId="4B9A5ACA">
            <w:pPr>
              <w:widowControl/>
              <w:spacing w:line="240" w:lineRule="auto"/>
              <w:ind w:firstLine="0" w:firstLineChars="0"/>
              <w:jc w:val="center"/>
              <w:rPr>
                <w:rFonts w:ascii="宋体" w:hAnsi="宋体" w:cstheme="majorEastAsia"/>
                <w:spacing w:val="-6"/>
                <w:szCs w:val="21"/>
              </w:rPr>
            </w:pPr>
            <w:r>
              <w:rPr>
                <w:rFonts w:cs="Times New Roman"/>
                <w:color w:val="000000"/>
                <w:kern w:val="0"/>
                <w:szCs w:val="21"/>
                <w14:ligatures w14:val="standardContextual"/>
              </w:rPr>
              <w:t>25%多菌灵可湿性粉剂</w:t>
            </w:r>
          </w:p>
        </w:tc>
        <w:tc>
          <w:tcPr>
            <w:tcW w:w="1469" w:type="dxa"/>
            <w:vAlign w:val="center"/>
          </w:tcPr>
          <w:p w14:paraId="5E6B2717">
            <w:pPr>
              <w:widowControl/>
              <w:spacing w:line="240" w:lineRule="auto"/>
              <w:ind w:firstLine="0" w:firstLineChars="0"/>
              <w:jc w:val="center"/>
              <w:rPr>
                <w:rFonts w:ascii="宋体" w:hAnsi="宋体" w:cstheme="majorEastAsia"/>
                <w:szCs w:val="21"/>
                <w:shd w:val="clear" w:color="auto" w:fill="FFFFFF"/>
              </w:rPr>
            </w:pPr>
            <w:r>
              <w:rPr>
                <w:rFonts w:cs="Times New Roman"/>
                <w:color w:val="000000"/>
                <w:kern w:val="0"/>
                <w:szCs w:val="21"/>
                <w14:ligatures w14:val="standardContextual"/>
              </w:rPr>
              <w:t>2500～5000倍</w:t>
            </w:r>
            <w:r>
              <w:rPr>
                <w:rFonts w:hint="eastAsia" w:cs="Times New Roman"/>
                <w:color w:val="000000"/>
                <w:kern w:val="0"/>
                <w:szCs w:val="21"/>
                <w14:ligatures w14:val="standardContextual"/>
              </w:rPr>
              <w:t>液</w:t>
            </w:r>
          </w:p>
        </w:tc>
        <w:tc>
          <w:tcPr>
            <w:tcW w:w="1116" w:type="dxa"/>
            <w:vAlign w:val="center"/>
          </w:tcPr>
          <w:p w14:paraId="16DCBA22">
            <w:pPr>
              <w:widowControl/>
              <w:spacing w:line="240" w:lineRule="auto"/>
              <w:ind w:firstLine="0" w:firstLineChars="0"/>
              <w:jc w:val="center"/>
              <w:rPr>
                <w:rFonts w:ascii="宋体" w:hAnsi="宋体" w:cstheme="majorEastAsia"/>
                <w:kern w:val="0"/>
                <w:szCs w:val="21"/>
              </w:rPr>
            </w:pPr>
            <w:r>
              <w:rPr>
                <w:rFonts w:hint="eastAsia" w:ascii="宋体" w:hAnsi="宋体" w:cstheme="majorEastAsia"/>
                <w:kern w:val="0"/>
                <w:szCs w:val="21"/>
              </w:rPr>
              <w:t>喷雾</w:t>
            </w:r>
          </w:p>
        </w:tc>
        <w:tc>
          <w:tcPr>
            <w:tcW w:w="1157" w:type="dxa"/>
            <w:vAlign w:val="center"/>
          </w:tcPr>
          <w:p w14:paraId="3B9C0A6F">
            <w:pPr>
              <w:widowControl/>
              <w:spacing w:line="240" w:lineRule="auto"/>
              <w:ind w:firstLine="0" w:firstLineChars="0"/>
              <w:jc w:val="center"/>
              <w:rPr>
                <w:rFonts w:ascii="宋体" w:hAnsi="宋体" w:cstheme="majorEastAsia"/>
                <w:kern w:val="0"/>
                <w:szCs w:val="21"/>
              </w:rPr>
            </w:pPr>
            <w:r>
              <w:rPr>
                <w:rFonts w:hint="eastAsia" w:ascii="宋体" w:hAnsi="宋体" w:cstheme="majorEastAsia"/>
                <w:kern w:val="0"/>
                <w:szCs w:val="21"/>
              </w:rPr>
              <w:t>30</w:t>
            </w:r>
          </w:p>
        </w:tc>
      </w:tr>
      <w:tr w14:paraId="59B27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696" w:type="dxa"/>
            <w:vAlign w:val="center"/>
          </w:tcPr>
          <w:p w14:paraId="66A46FB3">
            <w:pPr>
              <w:spacing w:line="240" w:lineRule="auto"/>
              <w:ind w:firstLine="0" w:firstLineChars="0"/>
              <w:jc w:val="center"/>
              <w:rPr>
                <w:rFonts w:ascii="宋体" w:hAnsi="宋体" w:cstheme="majorEastAsia"/>
                <w:kern w:val="0"/>
                <w:szCs w:val="21"/>
              </w:rPr>
            </w:pPr>
            <w:r>
              <w:rPr>
                <w:rFonts w:cs="Times New Roman"/>
                <w:color w:val="000000"/>
                <w:kern w:val="0"/>
                <w:szCs w:val="21"/>
                <w14:ligatures w14:val="standardContextual"/>
              </w:rPr>
              <w:t>蚜虫</w:t>
            </w:r>
            <w:r>
              <w:rPr>
                <w:rFonts w:hint="eastAsia" w:cs="Times New Roman"/>
                <w:color w:val="000000"/>
                <w:kern w:val="0"/>
                <w:szCs w:val="21"/>
                <w14:ligatures w14:val="standardContextual"/>
              </w:rPr>
              <w:t>、红蜘蛛等小型害虫</w:t>
            </w:r>
          </w:p>
        </w:tc>
        <w:tc>
          <w:tcPr>
            <w:tcW w:w="1276" w:type="dxa"/>
            <w:vAlign w:val="center"/>
          </w:tcPr>
          <w:p w14:paraId="51D4FAAD">
            <w:pPr>
              <w:widowControl/>
              <w:spacing w:line="240" w:lineRule="auto"/>
              <w:ind w:firstLine="0" w:firstLineChars="0"/>
              <w:jc w:val="center"/>
              <w:rPr>
                <w:rFonts w:ascii="宋体" w:hAnsi="宋体" w:cstheme="majorEastAsia"/>
                <w:kern w:val="0"/>
                <w:szCs w:val="21"/>
              </w:rPr>
            </w:pPr>
            <w:r>
              <w:rPr>
                <w:rFonts w:hint="eastAsia" w:cs="Times New Roman"/>
                <w:color w:val="000000"/>
                <w:kern w:val="0"/>
                <w:szCs w:val="21"/>
                <w14:ligatures w14:val="standardContextual"/>
              </w:rPr>
              <w:t>发生初期</w:t>
            </w:r>
          </w:p>
        </w:tc>
        <w:tc>
          <w:tcPr>
            <w:tcW w:w="1701" w:type="dxa"/>
            <w:vAlign w:val="center"/>
          </w:tcPr>
          <w:p w14:paraId="6C033C8C">
            <w:pPr>
              <w:widowControl/>
              <w:spacing w:line="240" w:lineRule="auto"/>
              <w:ind w:firstLine="0" w:firstLineChars="0"/>
              <w:jc w:val="center"/>
              <w:rPr>
                <w:rFonts w:ascii="宋体" w:hAnsi="宋体" w:cstheme="majorEastAsia"/>
                <w:spacing w:val="-6"/>
                <w:szCs w:val="21"/>
              </w:rPr>
            </w:pPr>
            <w:r>
              <w:rPr>
                <w:rFonts w:hint="eastAsia" w:cs="Times New Roman"/>
                <w:color w:val="000000"/>
                <w:kern w:val="0"/>
                <w:szCs w:val="21"/>
                <w14:ligatures w14:val="standardContextual"/>
              </w:rPr>
              <w:t>4</w:t>
            </w:r>
            <w:r>
              <w:rPr>
                <w:rFonts w:cs="Times New Roman"/>
                <w:color w:val="000000"/>
                <w:kern w:val="0"/>
                <w:szCs w:val="21"/>
                <w14:ligatures w14:val="standardContextual"/>
              </w:rPr>
              <w:t>0％</w:t>
            </w:r>
            <w:r>
              <w:rPr>
                <w:rFonts w:hint="eastAsia" w:cs="Times New Roman"/>
                <w:color w:val="000000"/>
                <w:kern w:val="0"/>
                <w:szCs w:val="21"/>
                <w14:ligatures w14:val="standardContextual"/>
              </w:rPr>
              <w:t>辛硫磷</w:t>
            </w:r>
            <w:r>
              <w:rPr>
                <w:rFonts w:cs="Times New Roman"/>
                <w:color w:val="000000"/>
                <w:kern w:val="0"/>
                <w:szCs w:val="21"/>
                <w14:ligatures w14:val="standardContextual"/>
              </w:rPr>
              <w:t>乳油</w:t>
            </w:r>
          </w:p>
        </w:tc>
        <w:tc>
          <w:tcPr>
            <w:tcW w:w="1469" w:type="dxa"/>
            <w:vAlign w:val="center"/>
          </w:tcPr>
          <w:p w14:paraId="27C5D653">
            <w:pPr>
              <w:widowControl/>
              <w:spacing w:line="240" w:lineRule="auto"/>
              <w:ind w:firstLine="0" w:firstLineChars="0"/>
              <w:jc w:val="center"/>
              <w:rPr>
                <w:rFonts w:ascii="宋体" w:hAnsi="宋体" w:cstheme="majorEastAsia"/>
                <w:szCs w:val="21"/>
                <w:shd w:val="clear" w:color="auto" w:fill="FFFFFF"/>
              </w:rPr>
            </w:pPr>
            <w:r>
              <w:rPr>
                <w:rFonts w:hint="eastAsia" w:cs="Times New Roman"/>
                <w:color w:val="000000"/>
                <w:kern w:val="0"/>
                <w:szCs w:val="21"/>
                <w14:ligatures w14:val="standardContextual"/>
              </w:rPr>
              <w:t>10</w:t>
            </w:r>
            <w:r>
              <w:rPr>
                <w:rFonts w:cs="Times New Roman"/>
                <w:color w:val="000000"/>
                <w:kern w:val="0"/>
                <w:szCs w:val="21"/>
                <w14:ligatures w14:val="standardContextual"/>
              </w:rPr>
              <w:t>00～</w:t>
            </w:r>
            <w:r>
              <w:rPr>
                <w:rFonts w:hint="eastAsia" w:cs="Times New Roman"/>
                <w:color w:val="000000"/>
                <w:kern w:val="0"/>
                <w:szCs w:val="21"/>
                <w14:ligatures w14:val="standardContextual"/>
              </w:rPr>
              <w:t>2</w:t>
            </w:r>
            <w:r>
              <w:rPr>
                <w:rFonts w:cs="Times New Roman"/>
                <w:color w:val="000000"/>
                <w:kern w:val="0"/>
                <w:szCs w:val="21"/>
                <w14:ligatures w14:val="standardContextual"/>
              </w:rPr>
              <w:t>000倍</w:t>
            </w:r>
            <w:r>
              <w:rPr>
                <w:rFonts w:hint="eastAsia" w:cs="Times New Roman"/>
                <w:color w:val="000000"/>
                <w:kern w:val="0"/>
                <w:szCs w:val="21"/>
                <w14:ligatures w14:val="standardContextual"/>
              </w:rPr>
              <w:t>液</w:t>
            </w:r>
          </w:p>
        </w:tc>
        <w:tc>
          <w:tcPr>
            <w:tcW w:w="1116" w:type="dxa"/>
            <w:vAlign w:val="center"/>
          </w:tcPr>
          <w:p w14:paraId="20BFCA58">
            <w:pPr>
              <w:widowControl/>
              <w:spacing w:line="240" w:lineRule="auto"/>
              <w:ind w:firstLine="0" w:firstLineChars="0"/>
              <w:jc w:val="center"/>
              <w:rPr>
                <w:rFonts w:ascii="宋体" w:hAnsi="宋体" w:cstheme="majorEastAsia"/>
                <w:kern w:val="0"/>
                <w:szCs w:val="21"/>
              </w:rPr>
            </w:pPr>
            <w:r>
              <w:rPr>
                <w:rFonts w:hint="eastAsia" w:ascii="宋体" w:hAnsi="宋体" w:cstheme="majorEastAsia"/>
                <w:kern w:val="0"/>
                <w:szCs w:val="21"/>
              </w:rPr>
              <w:t>喷雾</w:t>
            </w:r>
          </w:p>
        </w:tc>
        <w:tc>
          <w:tcPr>
            <w:tcW w:w="1157" w:type="dxa"/>
            <w:vAlign w:val="center"/>
          </w:tcPr>
          <w:p w14:paraId="48FDE01B">
            <w:pPr>
              <w:widowControl/>
              <w:spacing w:line="240" w:lineRule="auto"/>
              <w:ind w:firstLine="0" w:firstLineChars="0"/>
              <w:jc w:val="center"/>
              <w:rPr>
                <w:rFonts w:ascii="宋体" w:hAnsi="宋体" w:cstheme="majorEastAsia"/>
                <w:kern w:val="0"/>
                <w:szCs w:val="21"/>
              </w:rPr>
            </w:pPr>
            <w:r>
              <w:rPr>
                <w:rFonts w:hint="eastAsia" w:ascii="宋体" w:hAnsi="宋体" w:cstheme="majorEastAsia"/>
                <w:kern w:val="0"/>
                <w:szCs w:val="21"/>
              </w:rPr>
              <w:t>7</w:t>
            </w:r>
          </w:p>
        </w:tc>
      </w:tr>
      <w:tr w14:paraId="3D822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696" w:type="dxa"/>
            <w:vAlign w:val="center"/>
          </w:tcPr>
          <w:p w14:paraId="2B134321">
            <w:pPr>
              <w:spacing w:line="240" w:lineRule="auto"/>
              <w:ind w:firstLine="0" w:firstLineChars="0"/>
              <w:jc w:val="center"/>
              <w:rPr>
                <w:rFonts w:ascii="宋体" w:hAnsi="宋体" w:cstheme="majorEastAsia"/>
                <w:kern w:val="0"/>
                <w:szCs w:val="21"/>
              </w:rPr>
            </w:pPr>
            <w:r>
              <w:rPr>
                <w:rFonts w:cs="Times New Roman"/>
                <w:color w:val="000000"/>
                <w:kern w:val="0"/>
                <w:szCs w:val="21"/>
                <w14:ligatures w14:val="standardContextual"/>
              </w:rPr>
              <w:t>皮细蛾、</w:t>
            </w:r>
            <w:r>
              <w:rPr>
                <w:rFonts w:hint="eastAsia" w:cs="Times New Roman"/>
                <w:color w:val="000000"/>
                <w:kern w:val="0"/>
                <w:szCs w:val="21"/>
                <w14:ligatures w14:val="standardContextual"/>
              </w:rPr>
              <w:t>斜纹夜蛾等食叶害虫</w:t>
            </w:r>
          </w:p>
        </w:tc>
        <w:tc>
          <w:tcPr>
            <w:tcW w:w="1276" w:type="dxa"/>
            <w:vAlign w:val="center"/>
          </w:tcPr>
          <w:p w14:paraId="4F490FA4">
            <w:pPr>
              <w:spacing w:line="240" w:lineRule="auto"/>
              <w:ind w:firstLine="0" w:firstLineChars="0"/>
              <w:jc w:val="center"/>
              <w:rPr>
                <w:rFonts w:ascii="宋体" w:hAnsi="宋体" w:cstheme="majorEastAsia"/>
                <w:kern w:val="0"/>
                <w:szCs w:val="21"/>
              </w:rPr>
            </w:pPr>
            <w:r>
              <w:rPr>
                <w:rFonts w:hint="eastAsia" w:cs="Times New Roman"/>
                <w:color w:val="000000"/>
                <w:kern w:val="0"/>
                <w:szCs w:val="21"/>
                <w14:ligatures w14:val="standardContextual"/>
              </w:rPr>
              <w:t>低龄幼虫期</w:t>
            </w:r>
          </w:p>
        </w:tc>
        <w:tc>
          <w:tcPr>
            <w:tcW w:w="1701" w:type="dxa"/>
            <w:vAlign w:val="center"/>
          </w:tcPr>
          <w:p w14:paraId="036E44DC">
            <w:pPr>
              <w:widowControl/>
              <w:spacing w:line="240" w:lineRule="auto"/>
              <w:ind w:firstLine="0" w:firstLineChars="0"/>
              <w:jc w:val="center"/>
              <w:rPr>
                <w:rFonts w:ascii="宋体" w:hAnsi="宋体" w:cstheme="majorEastAsia"/>
                <w:spacing w:val="-6"/>
                <w:szCs w:val="21"/>
              </w:rPr>
            </w:pPr>
            <w:r>
              <w:rPr>
                <w:rFonts w:cs="Times New Roman"/>
                <w:color w:val="000000"/>
                <w:kern w:val="0"/>
                <w:szCs w:val="21"/>
                <w14:ligatures w14:val="standardContextual"/>
              </w:rPr>
              <w:t>18％杀虫双水剂</w:t>
            </w:r>
          </w:p>
        </w:tc>
        <w:tc>
          <w:tcPr>
            <w:tcW w:w="1469" w:type="dxa"/>
            <w:vAlign w:val="center"/>
          </w:tcPr>
          <w:p w14:paraId="4EF4BA94">
            <w:pPr>
              <w:widowControl/>
              <w:spacing w:line="240" w:lineRule="auto"/>
              <w:ind w:firstLine="0" w:firstLineChars="0"/>
              <w:jc w:val="center"/>
              <w:rPr>
                <w:rFonts w:ascii="宋体" w:hAnsi="宋体" w:cstheme="majorEastAsia"/>
                <w:szCs w:val="21"/>
                <w:shd w:val="clear" w:color="auto" w:fill="FFFFFF"/>
              </w:rPr>
            </w:pPr>
            <w:r>
              <w:rPr>
                <w:rFonts w:cs="Times New Roman"/>
                <w:color w:val="000000"/>
                <w:kern w:val="0"/>
                <w:szCs w:val="21"/>
                <w14:ligatures w14:val="standardContextual"/>
              </w:rPr>
              <w:t>500～800倍</w:t>
            </w:r>
          </w:p>
        </w:tc>
        <w:tc>
          <w:tcPr>
            <w:tcW w:w="1116" w:type="dxa"/>
            <w:vAlign w:val="center"/>
          </w:tcPr>
          <w:p w14:paraId="55B99A66">
            <w:pPr>
              <w:widowControl/>
              <w:spacing w:line="240" w:lineRule="auto"/>
              <w:ind w:firstLine="0" w:firstLineChars="0"/>
              <w:jc w:val="center"/>
              <w:rPr>
                <w:rFonts w:ascii="宋体" w:hAnsi="宋体" w:cstheme="majorEastAsia"/>
                <w:kern w:val="0"/>
                <w:szCs w:val="21"/>
              </w:rPr>
            </w:pPr>
            <w:r>
              <w:rPr>
                <w:rFonts w:hint="eastAsia" w:ascii="宋体" w:hAnsi="宋体" w:cstheme="majorEastAsia"/>
                <w:kern w:val="0"/>
                <w:szCs w:val="21"/>
              </w:rPr>
              <w:t>喷雾</w:t>
            </w:r>
          </w:p>
        </w:tc>
        <w:tc>
          <w:tcPr>
            <w:tcW w:w="1157" w:type="dxa"/>
            <w:vAlign w:val="center"/>
          </w:tcPr>
          <w:p w14:paraId="73E83B7D">
            <w:pPr>
              <w:widowControl/>
              <w:spacing w:line="240" w:lineRule="auto"/>
              <w:ind w:firstLine="0" w:firstLineChars="0"/>
              <w:jc w:val="center"/>
              <w:rPr>
                <w:rFonts w:ascii="宋体" w:hAnsi="宋体" w:cstheme="majorEastAsia"/>
                <w:kern w:val="0"/>
                <w:szCs w:val="21"/>
              </w:rPr>
            </w:pPr>
            <w:r>
              <w:rPr>
                <w:rFonts w:hint="eastAsia" w:ascii="宋体" w:hAnsi="宋体" w:cstheme="majorEastAsia"/>
                <w:kern w:val="0"/>
                <w:szCs w:val="21"/>
              </w:rPr>
              <w:t>15</w:t>
            </w:r>
          </w:p>
        </w:tc>
      </w:tr>
      <w:tr w14:paraId="550DD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8415" w:type="dxa"/>
            <w:gridSpan w:val="6"/>
            <w:vAlign w:val="center"/>
          </w:tcPr>
          <w:p w14:paraId="3D45D971">
            <w:pPr>
              <w:widowControl/>
              <w:spacing w:line="240" w:lineRule="auto"/>
              <w:ind w:firstLine="0" w:firstLineChars="0"/>
              <w:jc w:val="left"/>
              <w:rPr>
                <w:rFonts w:ascii="宋体" w:hAnsi="宋体" w:cstheme="majorEastAsia"/>
                <w:kern w:val="0"/>
                <w:szCs w:val="21"/>
              </w:rPr>
            </w:pPr>
            <w:r>
              <w:rPr>
                <w:rFonts w:cs="Times New Roman"/>
                <w:color w:val="000000"/>
                <w:kern w:val="0"/>
                <w:szCs w:val="21"/>
                <w14:ligatures w14:val="standardContextual"/>
              </w:rPr>
              <w:t>注：农药使用应以最新版本NY/T</w:t>
            </w:r>
            <w:r>
              <w:rPr>
                <w:rFonts w:hint="eastAsia" w:cs="Times New Roman"/>
                <w:color w:val="000000"/>
                <w:kern w:val="0"/>
                <w:szCs w:val="21"/>
                <w14:ligatures w14:val="standardContextual"/>
              </w:rPr>
              <w:t xml:space="preserve"> </w:t>
            </w:r>
            <w:r>
              <w:rPr>
                <w:rFonts w:cs="Times New Roman"/>
                <w:color w:val="000000"/>
                <w:kern w:val="0"/>
                <w:szCs w:val="21"/>
                <w14:ligatures w14:val="standardContextual"/>
              </w:rPr>
              <w:t>393的规定为准。</w:t>
            </w:r>
          </w:p>
        </w:tc>
      </w:tr>
    </w:tbl>
    <w:p w14:paraId="714CF241">
      <w:pPr>
        <w:spacing w:line="400" w:lineRule="atLeast"/>
        <w:ind w:firstLine="420"/>
        <w:contextualSpacing/>
        <w:jc w:val="center"/>
        <w:rPr>
          <w:rFonts w:ascii="黑体" w:eastAsia="黑体" w:cs="Times New Roman"/>
          <w:kern w:val="0"/>
          <w:szCs w:val="21"/>
        </w:rPr>
      </w:pPr>
      <w:r>
        <w:rPr>
          <w:rFonts w:ascii="黑体" w:eastAsia="黑体" w:cs="Times New Roman"/>
          <w:kern w:val="0"/>
          <w:szCs w:val="21"/>
        </w:rPr>
        <mc:AlternateContent>
          <mc:Choice Requires="wps">
            <w:drawing>
              <wp:anchor distT="0" distB="0" distL="114300" distR="114300" simplePos="0" relativeHeight="251662336" behindDoc="0" locked="0" layoutInCell="1" allowOverlap="1">
                <wp:simplePos x="0" y="0"/>
                <wp:positionH relativeFrom="column">
                  <wp:posOffset>1783080</wp:posOffset>
                </wp:positionH>
                <wp:positionV relativeFrom="paragraph">
                  <wp:posOffset>711200</wp:posOffset>
                </wp:positionV>
                <wp:extent cx="1977390" cy="0"/>
                <wp:effectExtent l="0" t="0" r="22860" b="19050"/>
                <wp:wrapNone/>
                <wp:docPr id="4" name="直接连接符 4"/>
                <wp:cNvGraphicFramePr/>
                <a:graphic xmlns:a="http://schemas.openxmlformats.org/drawingml/2006/main">
                  <a:graphicData uri="http://schemas.microsoft.com/office/word/2010/wordprocessingShape">
                    <wps:wsp>
                      <wps:cNvCnPr/>
                      <wps:spPr>
                        <a:xfrm>
                          <a:off x="0" y="0"/>
                          <a:ext cx="19773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140.4pt;margin-top:56pt;height:0pt;width:155.7pt;z-index:251662336;mso-width-relative:page;mso-height-relative:page;" filled="f" stroked="t" coordsize="21600,21600" o:gfxdata="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SvhIPNYAAAALAQAA&#10;DwAAAAAAAAABACAAAAAiAAAAZHJzL2Rvd25yZXYueG1sUEsBAhQAFAAAAAgAh07iQGqTIrfiAQAA&#10;sQMAAA4AAAAAAAAAAQAgAAAAJQEAAGRycy9lMm9Eb2MueG1sUEsFBgAAAAAGAAYAWQEAAHkFAAAA&#10;AA==&#10;">
                <v:fill on="f" focussize="0,0"/>
                <v:stroke weight="0.5pt" color="#000000 [3213]" miterlimit="8" joinstyle="miter"/>
                <v:imagedata o:title=""/>
                <o:lock v:ext="edit" aspectratio="f"/>
              </v:line>
            </w:pict>
          </mc:Fallback>
        </mc:AlternateContent>
      </w:r>
    </w:p>
    <w:sectPr>
      <w:footerReference r:id="rId11" w:type="default"/>
      <w:footerReference r:id="rId12" w:type="even"/>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ptos">
    <w:altName w:val="Segoe Print"/>
    <w:panose1 w:val="00000000000000000000"/>
    <w:charset w:val="00"/>
    <w:family w:val="swiss"/>
    <w:pitch w:val="default"/>
    <w:sig w:usb0="00000000" w:usb1="00000000" w:usb2="00000000" w:usb3="00000000" w:csb0="0000019F" w:csb1="00000000"/>
  </w:font>
  <w:font w:name="Segoe Print">
    <w:panose1 w:val="02000600000000000000"/>
    <w:charset w:val="00"/>
    <w:family w:val="auto"/>
    <w:pitch w:val="default"/>
    <w:sig w:usb0="0000028F" w:usb1="00000000" w:usb2="00000000" w:usb3="00000000" w:csb0="2000009F" w:csb1="47010000"/>
  </w:font>
  <w:font w:name="等线">
    <w:altName w:val="宋体"/>
    <w:panose1 w:val="00000000000000000000"/>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Light">
    <w:altName w:val="Arial Unicode MS"/>
    <w:panose1 w:val="00000000000000000000"/>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Aptos Display">
    <w:altName w:val="Segoe Print"/>
    <w:panose1 w:val="00000000000000000000"/>
    <w:charset w:val="00"/>
    <w:family w:val="swiss"/>
    <w:pitch w:val="default"/>
    <w:sig w:usb0="00000000" w:usb1="00000000" w:usb2="00000000" w:usb3="00000000" w:csb0="0000019F" w:csb1="00000000"/>
  </w:font>
  <w:font w:name="华文中宋">
    <w:panose1 w:val="02010600040101010101"/>
    <w:charset w:val="86"/>
    <w:family w:val="auto"/>
    <w:pitch w:val="default"/>
    <w:sig w:usb0="00000287" w:usb1="080F0000" w:usb2="00000000" w:usb3="00000000" w:csb0="0004009F" w:csb1="DFD70000"/>
  </w:font>
  <w:font w:name="等线">
    <w:altName w:val="Arial Unicode MS"/>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9772A">
    <w:pPr>
      <w:pStyle w:val="14"/>
      <w:ind w:firstLine="0" w:firstLineChars="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B79D0">
    <w:pPr>
      <w:pStyle w:val="14"/>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B9542B">
    <w:pPr>
      <w:pStyle w:val="14"/>
      <w:ind w:firstLine="4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727012"/>
      <w:docPartObj>
        <w:docPartGallery w:val="AutoText"/>
      </w:docPartObj>
    </w:sdtPr>
    <w:sdtContent>
      <w:p w14:paraId="3A587DD9">
        <w:pPr>
          <w:pStyle w:val="14"/>
          <w:ind w:firstLine="420"/>
          <w:jc w:val="right"/>
        </w:pPr>
        <w:r>
          <w:fldChar w:fldCharType="begin"/>
        </w:r>
        <w:r>
          <w:instrText xml:space="preserve">PAGE   \* MERGEFORMAT</w:instrText>
        </w:r>
        <w:r>
          <w:fldChar w:fldCharType="separate"/>
        </w:r>
        <w:r>
          <w:rPr>
            <w:lang w:val="zh-CN"/>
          </w:rPr>
          <w:t>5</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4526911"/>
      <w:docPartObj>
        <w:docPartGallery w:val="AutoText"/>
      </w:docPartObj>
    </w:sdtPr>
    <w:sdtContent>
      <w:p w14:paraId="11893062">
        <w:pPr>
          <w:pStyle w:val="14"/>
          <w:ind w:firstLine="0" w:firstLineChars="0"/>
        </w:pPr>
        <w:r>
          <w:fldChar w:fldCharType="begin"/>
        </w:r>
        <w:r>
          <w:instrText xml:space="preserve">PAGE   \* MERGEFORMAT</w:instrText>
        </w:r>
        <w:r>
          <w:fldChar w:fldCharType="separate"/>
        </w:r>
        <w:r>
          <w:rPr>
            <w:lang w:val="zh-CN"/>
          </w:rPr>
          <w:t>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F797B">
    <w:pPr>
      <w:pStyle w:val="15"/>
      <w:ind w:firstLine="420"/>
    </w:pPr>
    <w:r>
      <w:pict>
        <v:shape id="WordPictureWatermark22904801" o:spid="_x0000_s2051" o:spt="75" type="#_x0000_t75" style="position:absolute;left:0pt;height:387pt;width:415.2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42F7D">
    <w:pPr>
      <w:pStyle w:val="15"/>
      <w:ind w:firstLine="420"/>
    </w:pPr>
    <w:r>
      <w:pict>
        <v:shape id="WordPictureWatermark22904800" o:spid="_x0000_s2050" o:spt="75" type="#_x0000_t75" style="position:absolute;left:0pt;height:387pt;width:415.2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C99AC">
    <w:pPr>
      <w:pStyle w:val="15"/>
      <w:ind w:firstLine="420"/>
    </w:pPr>
    <w:r>
      <w:pict>
        <v:shape id="WordPictureWatermark22904799" o:spid="_x0000_s2049" o:spt="75" type="#_x0000_t75" style="position:absolute;left:0pt;height:387pt;width:415.2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绿标png"/>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720"/>
  <w:evenAndOddHeaders w:val="1"/>
  <w:drawingGridHorizontalSpacing w:val="105"/>
  <w:drawingGridVerticalSpacing w:val="156"/>
  <w:displayHorizontalDrawingGridEvery w:val="2"/>
  <w:displayVerticalDrawingGridEvery w:val="2"/>
  <w:characterSpacingControl w:val="doNotCompress"/>
  <w:hdrShapeDefaults>
    <o:shapelayout v:ext="edit">
      <o:idmap v:ext="edit" data="2"/>
    </o:shapelayout>
  </w:hdrShapeDefault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E1NzMwMGEwYTc2MDYyNGUzZTBkM2RiOGYxOTVlNDUifQ=="/>
  </w:docVars>
  <w:rsids>
    <w:rsidRoot w:val="0079676D"/>
    <w:rsid w:val="00005BE3"/>
    <w:rsid w:val="000100B5"/>
    <w:rsid w:val="000172AC"/>
    <w:rsid w:val="00023A09"/>
    <w:rsid w:val="000462A5"/>
    <w:rsid w:val="00083A14"/>
    <w:rsid w:val="00083C1D"/>
    <w:rsid w:val="00085D87"/>
    <w:rsid w:val="000A6558"/>
    <w:rsid w:val="000C579B"/>
    <w:rsid w:val="000D677B"/>
    <w:rsid w:val="000E2193"/>
    <w:rsid w:val="000E309D"/>
    <w:rsid w:val="000E4C97"/>
    <w:rsid w:val="00114F67"/>
    <w:rsid w:val="001267A3"/>
    <w:rsid w:val="00133510"/>
    <w:rsid w:val="0017437E"/>
    <w:rsid w:val="00176284"/>
    <w:rsid w:val="00186A93"/>
    <w:rsid w:val="0019772B"/>
    <w:rsid w:val="001A38C9"/>
    <w:rsid w:val="001D0167"/>
    <w:rsid w:val="001D5AA3"/>
    <w:rsid w:val="001E0119"/>
    <w:rsid w:val="001E0395"/>
    <w:rsid w:val="001E5A34"/>
    <w:rsid w:val="00202934"/>
    <w:rsid w:val="00203962"/>
    <w:rsid w:val="00217C91"/>
    <w:rsid w:val="0022015F"/>
    <w:rsid w:val="00231882"/>
    <w:rsid w:val="00242EB4"/>
    <w:rsid w:val="00243C68"/>
    <w:rsid w:val="002636D7"/>
    <w:rsid w:val="00266C69"/>
    <w:rsid w:val="00270CF4"/>
    <w:rsid w:val="00276C07"/>
    <w:rsid w:val="002863D9"/>
    <w:rsid w:val="002915A4"/>
    <w:rsid w:val="002922D8"/>
    <w:rsid w:val="002A086F"/>
    <w:rsid w:val="002C1A8E"/>
    <w:rsid w:val="002C37D9"/>
    <w:rsid w:val="002F0D77"/>
    <w:rsid w:val="002F29C6"/>
    <w:rsid w:val="002F5B5A"/>
    <w:rsid w:val="00306311"/>
    <w:rsid w:val="00311B53"/>
    <w:rsid w:val="003207D7"/>
    <w:rsid w:val="003245BE"/>
    <w:rsid w:val="00327397"/>
    <w:rsid w:val="00382194"/>
    <w:rsid w:val="003850A1"/>
    <w:rsid w:val="0038715E"/>
    <w:rsid w:val="003C177F"/>
    <w:rsid w:val="003C772E"/>
    <w:rsid w:val="003F7DF3"/>
    <w:rsid w:val="004007AA"/>
    <w:rsid w:val="00405294"/>
    <w:rsid w:val="00420401"/>
    <w:rsid w:val="004335B6"/>
    <w:rsid w:val="0045147F"/>
    <w:rsid w:val="00454106"/>
    <w:rsid w:val="00463399"/>
    <w:rsid w:val="00476B5C"/>
    <w:rsid w:val="004813D0"/>
    <w:rsid w:val="0048444B"/>
    <w:rsid w:val="00484DF7"/>
    <w:rsid w:val="004923EC"/>
    <w:rsid w:val="004A2A65"/>
    <w:rsid w:val="004B0E34"/>
    <w:rsid w:val="004C692B"/>
    <w:rsid w:val="004F0600"/>
    <w:rsid w:val="0051159A"/>
    <w:rsid w:val="005121EF"/>
    <w:rsid w:val="00525DFC"/>
    <w:rsid w:val="00526603"/>
    <w:rsid w:val="00541582"/>
    <w:rsid w:val="00572165"/>
    <w:rsid w:val="005A1697"/>
    <w:rsid w:val="005A5556"/>
    <w:rsid w:val="005D2A18"/>
    <w:rsid w:val="00627008"/>
    <w:rsid w:val="006328DB"/>
    <w:rsid w:val="006420C9"/>
    <w:rsid w:val="0065315D"/>
    <w:rsid w:val="00666C4E"/>
    <w:rsid w:val="00675A01"/>
    <w:rsid w:val="00681EFD"/>
    <w:rsid w:val="006865C5"/>
    <w:rsid w:val="00690BC1"/>
    <w:rsid w:val="006A3A9D"/>
    <w:rsid w:val="006C5510"/>
    <w:rsid w:val="006C6023"/>
    <w:rsid w:val="00733F5E"/>
    <w:rsid w:val="007351B5"/>
    <w:rsid w:val="00746408"/>
    <w:rsid w:val="00770269"/>
    <w:rsid w:val="00783962"/>
    <w:rsid w:val="0079676D"/>
    <w:rsid w:val="007A32A0"/>
    <w:rsid w:val="007B30CA"/>
    <w:rsid w:val="007B6DB9"/>
    <w:rsid w:val="007C2636"/>
    <w:rsid w:val="007D116C"/>
    <w:rsid w:val="0081262E"/>
    <w:rsid w:val="0081653A"/>
    <w:rsid w:val="00820994"/>
    <w:rsid w:val="00826857"/>
    <w:rsid w:val="00833CAB"/>
    <w:rsid w:val="00843169"/>
    <w:rsid w:val="00843309"/>
    <w:rsid w:val="00846D4B"/>
    <w:rsid w:val="00847D7E"/>
    <w:rsid w:val="0087177E"/>
    <w:rsid w:val="008762B9"/>
    <w:rsid w:val="0088276D"/>
    <w:rsid w:val="008B3BE7"/>
    <w:rsid w:val="008C5128"/>
    <w:rsid w:val="008D086A"/>
    <w:rsid w:val="008E313F"/>
    <w:rsid w:val="008F7AEE"/>
    <w:rsid w:val="00912D56"/>
    <w:rsid w:val="009221DF"/>
    <w:rsid w:val="00940A82"/>
    <w:rsid w:val="00951BC7"/>
    <w:rsid w:val="0096579F"/>
    <w:rsid w:val="00971F1E"/>
    <w:rsid w:val="00974DA6"/>
    <w:rsid w:val="009850B9"/>
    <w:rsid w:val="009877CB"/>
    <w:rsid w:val="00990B43"/>
    <w:rsid w:val="009A753B"/>
    <w:rsid w:val="009C6AF4"/>
    <w:rsid w:val="009E5DAA"/>
    <w:rsid w:val="009E7973"/>
    <w:rsid w:val="009F29B4"/>
    <w:rsid w:val="009F7FA8"/>
    <w:rsid w:val="00A33B6E"/>
    <w:rsid w:val="00A52D7F"/>
    <w:rsid w:val="00A53A67"/>
    <w:rsid w:val="00A57303"/>
    <w:rsid w:val="00A87111"/>
    <w:rsid w:val="00A9497D"/>
    <w:rsid w:val="00A96CCA"/>
    <w:rsid w:val="00AA7FAB"/>
    <w:rsid w:val="00AB59D4"/>
    <w:rsid w:val="00AB6B49"/>
    <w:rsid w:val="00AB7D2E"/>
    <w:rsid w:val="00AC1AC0"/>
    <w:rsid w:val="00AD05DE"/>
    <w:rsid w:val="00AD08A5"/>
    <w:rsid w:val="00AD6AEC"/>
    <w:rsid w:val="00AE6FA9"/>
    <w:rsid w:val="00AF0EE9"/>
    <w:rsid w:val="00AF26FB"/>
    <w:rsid w:val="00AF5794"/>
    <w:rsid w:val="00B03114"/>
    <w:rsid w:val="00B06159"/>
    <w:rsid w:val="00B237B6"/>
    <w:rsid w:val="00B53BD2"/>
    <w:rsid w:val="00B55611"/>
    <w:rsid w:val="00B62032"/>
    <w:rsid w:val="00B7679C"/>
    <w:rsid w:val="00B9549A"/>
    <w:rsid w:val="00B97736"/>
    <w:rsid w:val="00BA60A9"/>
    <w:rsid w:val="00BE2B93"/>
    <w:rsid w:val="00C00688"/>
    <w:rsid w:val="00C02B24"/>
    <w:rsid w:val="00C045B1"/>
    <w:rsid w:val="00C1209F"/>
    <w:rsid w:val="00C14207"/>
    <w:rsid w:val="00C17B82"/>
    <w:rsid w:val="00C20734"/>
    <w:rsid w:val="00C25EB9"/>
    <w:rsid w:val="00C30F39"/>
    <w:rsid w:val="00C3586D"/>
    <w:rsid w:val="00C364B5"/>
    <w:rsid w:val="00C377AC"/>
    <w:rsid w:val="00C73606"/>
    <w:rsid w:val="00C74156"/>
    <w:rsid w:val="00C756A8"/>
    <w:rsid w:val="00C913E5"/>
    <w:rsid w:val="00C95160"/>
    <w:rsid w:val="00C95680"/>
    <w:rsid w:val="00CB2644"/>
    <w:rsid w:val="00CC6C6C"/>
    <w:rsid w:val="00CD4BF2"/>
    <w:rsid w:val="00CE197B"/>
    <w:rsid w:val="00CF544D"/>
    <w:rsid w:val="00D00CE6"/>
    <w:rsid w:val="00D26F4D"/>
    <w:rsid w:val="00D27E92"/>
    <w:rsid w:val="00D34AAB"/>
    <w:rsid w:val="00D354A9"/>
    <w:rsid w:val="00D5380B"/>
    <w:rsid w:val="00D66618"/>
    <w:rsid w:val="00D771D4"/>
    <w:rsid w:val="00D83DB2"/>
    <w:rsid w:val="00D911B1"/>
    <w:rsid w:val="00DA1AD9"/>
    <w:rsid w:val="00DB0500"/>
    <w:rsid w:val="00DB242D"/>
    <w:rsid w:val="00DE5A79"/>
    <w:rsid w:val="00DF36CB"/>
    <w:rsid w:val="00E1391D"/>
    <w:rsid w:val="00E235AA"/>
    <w:rsid w:val="00E24799"/>
    <w:rsid w:val="00E32D03"/>
    <w:rsid w:val="00E33B52"/>
    <w:rsid w:val="00E554B9"/>
    <w:rsid w:val="00E74E4A"/>
    <w:rsid w:val="00E75C1F"/>
    <w:rsid w:val="00EA0403"/>
    <w:rsid w:val="00EA5DB8"/>
    <w:rsid w:val="00EB6A81"/>
    <w:rsid w:val="00EB6D02"/>
    <w:rsid w:val="00EB7DB1"/>
    <w:rsid w:val="00ED4127"/>
    <w:rsid w:val="00ED4537"/>
    <w:rsid w:val="00EE2440"/>
    <w:rsid w:val="00EE2C3F"/>
    <w:rsid w:val="00F03F06"/>
    <w:rsid w:val="00F043DB"/>
    <w:rsid w:val="00F1081C"/>
    <w:rsid w:val="00F17851"/>
    <w:rsid w:val="00F35AD8"/>
    <w:rsid w:val="00F409A5"/>
    <w:rsid w:val="00F5744C"/>
    <w:rsid w:val="00F62161"/>
    <w:rsid w:val="00F84E15"/>
    <w:rsid w:val="00F97BF4"/>
    <w:rsid w:val="00FA18F0"/>
    <w:rsid w:val="00FA2064"/>
    <w:rsid w:val="00FA7E53"/>
    <w:rsid w:val="00FB25EB"/>
    <w:rsid w:val="00FE56E4"/>
    <w:rsid w:val="00FF57F1"/>
    <w:rsid w:val="091824F0"/>
    <w:rsid w:val="34EE3694"/>
    <w:rsid w:val="45FEC4A0"/>
    <w:rsid w:val="4B267F55"/>
    <w:rsid w:val="4D01701D"/>
    <w:rsid w:val="4FDEA31F"/>
    <w:rsid w:val="5F5B51FA"/>
    <w:rsid w:val="5F821E94"/>
    <w:rsid w:val="757FF2D8"/>
    <w:rsid w:val="7DFB082B"/>
    <w:rsid w:val="7DFFF5B9"/>
    <w:rsid w:val="9FFF51E5"/>
    <w:rsid w:val="B3FFB9BB"/>
    <w:rsid w:val="B7BDD637"/>
    <w:rsid w:val="BAFF9D76"/>
    <w:rsid w:val="BFC765F5"/>
    <w:rsid w:val="D7FA42AD"/>
    <w:rsid w:val="DAA6B016"/>
    <w:rsid w:val="DDBDB488"/>
    <w:rsid w:val="EBDDAFEF"/>
    <w:rsid w:val="EF8DBBA6"/>
    <w:rsid w:val="F3FFC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200" w:firstLineChars="200"/>
      <w:jc w:val="both"/>
    </w:pPr>
    <w:rPr>
      <w:rFonts w:ascii="Times New Roman" w:hAnsi="Times New Roman" w:eastAsia="宋体" w:cstheme="minorBidi"/>
      <w:kern w:val="2"/>
      <w:sz w:val="21"/>
      <w:szCs w:val="22"/>
      <w:lang w:val="en-US" w:eastAsia="zh-CN" w:bidi="ar-SA"/>
    </w:rPr>
  </w:style>
  <w:style w:type="paragraph" w:styleId="2">
    <w:name w:val="heading 1"/>
    <w:basedOn w:val="1"/>
    <w:next w:val="1"/>
    <w:link w:val="22"/>
    <w:qFormat/>
    <w:uiPriority w:val="9"/>
    <w:pPr>
      <w:keepNext/>
      <w:keepLines/>
      <w:widowControl/>
      <w:ind w:firstLine="0" w:firstLineChars="0"/>
      <w:jc w:val="left"/>
      <w:outlineLvl w:val="0"/>
    </w:pPr>
    <w:rPr>
      <w:rFonts w:ascii="黑体" w:hAnsi="黑体" w:eastAsia="黑体" w:cstheme="majorBidi"/>
      <w:szCs w:val="40"/>
      <w14:ligatures w14:val="standardContextual"/>
    </w:rPr>
  </w:style>
  <w:style w:type="paragraph" w:styleId="3">
    <w:name w:val="heading 2"/>
    <w:basedOn w:val="1"/>
    <w:next w:val="1"/>
    <w:link w:val="23"/>
    <w:unhideWhenUsed/>
    <w:qFormat/>
    <w:uiPriority w:val="9"/>
    <w:pPr>
      <w:keepNext/>
      <w:keepLines/>
      <w:widowControl/>
      <w:ind w:firstLine="0" w:firstLineChars="0"/>
      <w:jc w:val="left"/>
      <w:outlineLvl w:val="1"/>
    </w:pPr>
    <w:rPr>
      <w:rFonts w:ascii="黑体" w:hAnsi="黑体" w:eastAsia="黑体" w:cstheme="majorBidi"/>
      <w:szCs w:val="32"/>
      <w14:ligatures w14:val="standardContextual"/>
    </w:rPr>
  </w:style>
  <w:style w:type="paragraph" w:styleId="4">
    <w:name w:val="heading 3"/>
    <w:basedOn w:val="1"/>
    <w:next w:val="1"/>
    <w:link w:val="24"/>
    <w:unhideWhenUsed/>
    <w:qFormat/>
    <w:uiPriority w:val="9"/>
    <w:pPr>
      <w:keepNext/>
      <w:keepLines/>
      <w:widowControl/>
      <w:ind w:firstLine="0" w:firstLineChars="0"/>
      <w:jc w:val="left"/>
      <w:outlineLvl w:val="2"/>
    </w:pPr>
    <w:rPr>
      <w:rFonts w:ascii="黑体" w:hAnsi="黑体" w:eastAsia="黑体" w:cstheme="majorBidi"/>
      <w:szCs w:val="28"/>
      <w14:ligatures w14:val="standardContextual"/>
    </w:rPr>
  </w:style>
  <w:style w:type="paragraph" w:styleId="5">
    <w:name w:val="heading 4"/>
    <w:basedOn w:val="1"/>
    <w:next w:val="1"/>
    <w:link w:val="25"/>
    <w:unhideWhenUsed/>
    <w:qFormat/>
    <w:uiPriority w:val="9"/>
    <w:pPr>
      <w:keepNext/>
      <w:keepLines/>
      <w:widowControl/>
      <w:ind w:firstLine="0" w:firstLineChars="0"/>
      <w:jc w:val="left"/>
      <w:outlineLvl w:val="3"/>
    </w:pPr>
    <w:rPr>
      <w:rFonts w:ascii="黑体" w:hAnsi="黑体" w:eastAsia="黑体" w:cstheme="majorBidi"/>
      <w:iCs/>
      <w:szCs w:val="24"/>
      <w14:ligatures w14:val="standardContextual"/>
    </w:rPr>
  </w:style>
  <w:style w:type="paragraph" w:styleId="6">
    <w:name w:val="heading 5"/>
    <w:basedOn w:val="1"/>
    <w:next w:val="1"/>
    <w:link w:val="26"/>
    <w:semiHidden/>
    <w:unhideWhenUsed/>
    <w:qFormat/>
    <w:uiPriority w:val="9"/>
    <w:pPr>
      <w:keepNext/>
      <w:keepLines/>
      <w:widowControl/>
      <w:spacing w:before="80" w:after="40" w:line="278" w:lineRule="auto"/>
      <w:jc w:val="left"/>
      <w:outlineLvl w:val="4"/>
    </w:pPr>
    <w:rPr>
      <w:rFonts w:eastAsiaTheme="majorEastAsia" w:cstheme="majorBidi"/>
      <w:color w:val="104862" w:themeColor="accent1" w:themeShade="BF"/>
      <w:sz w:val="24"/>
      <w:szCs w:val="24"/>
      <w14:ligatures w14:val="standardContextual"/>
    </w:rPr>
  </w:style>
  <w:style w:type="paragraph" w:styleId="7">
    <w:name w:val="heading 6"/>
    <w:basedOn w:val="1"/>
    <w:next w:val="1"/>
    <w:link w:val="27"/>
    <w:semiHidden/>
    <w:unhideWhenUsed/>
    <w:qFormat/>
    <w:uiPriority w:val="9"/>
    <w:pPr>
      <w:keepNext/>
      <w:keepLines/>
      <w:widowControl/>
      <w:spacing w:before="40" w:line="278" w:lineRule="auto"/>
      <w:jc w:val="left"/>
      <w:outlineLvl w:val="5"/>
    </w:pPr>
    <w:rPr>
      <w:rFonts w:eastAsiaTheme="majorEastAsia" w:cstheme="majorBidi"/>
      <w:i/>
      <w:iCs/>
      <w:color w:val="595959" w:themeColor="text1" w:themeTint="A6"/>
      <w:sz w:val="24"/>
      <w:szCs w:val="24"/>
      <w14:textFill>
        <w14:solidFill>
          <w14:schemeClr w14:val="tx1">
            <w14:lumMod w14:val="65000"/>
            <w14:lumOff w14:val="35000"/>
          </w14:schemeClr>
        </w14:solidFill>
      </w14:textFill>
      <w14:ligatures w14:val="standardContextual"/>
    </w:rPr>
  </w:style>
  <w:style w:type="paragraph" w:styleId="8">
    <w:name w:val="heading 7"/>
    <w:basedOn w:val="1"/>
    <w:next w:val="1"/>
    <w:link w:val="28"/>
    <w:semiHidden/>
    <w:unhideWhenUsed/>
    <w:qFormat/>
    <w:uiPriority w:val="9"/>
    <w:pPr>
      <w:keepNext/>
      <w:keepLines/>
      <w:widowControl/>
      <w:spacing w:before="40" w:line="278" w:lineRule="auto"/>
      <w:jc w:val="left"/>
      <w:outlineLvl w:val="6"/>
    </w:pPr>
    <w:rPr>
      <w:rFonts w:eastAsiaTheme="majorEastAsia" w:cstheme="majorBidi"/>
      <w:color w:val="595959" w:themeColor="text1" w:themeTint="A6"/>
      <w:sz w:val="24"/>
      <w:szCs w:val="24"/>
      <w14:textFill>
        <w14:solidFill>
          <w14:schemeClr w14:val="tx1">
            <w14:lumMod w14:val="65000"/>
            <w14:lumOff w14:val="35000"/>
          </w14:schemeClr>
        </w14:solidFill>
      </w14:textFill>
      <w14:ligatures w14:val="standardContextual"/>
    </w:rPr>
  </w:style>
  <w:style w:type="paragraph" w:styleId="9">
    <w:name w:val="heading 8"/>
    <w:basedOn w:val="1"/>
    <w:next w:val="1"/>
    <w:link w:val="29"/>
    <w:semiHidden/>
    <w:unhideWhenUsed/>
    <w:qFormat/>
    <w:uiPriority w:val="9"/>
    <w:pPr>
      <w:keepNext/>
      <w:keepLines/>
      <w:widowControl/>
      <w:spacing w:line="278" w:lineRule="auto"/>
      <w:jc w:val="left"/>
      <w:outlineLvl w:val="7"/>
    </w:pPr>
    <w:rPr>
      <w:rFonts w:eastAsiaTheme="majorEastAsia" w:cstheme="majorBidi"/>
      <w:i/>
      <w:iCs/>
      <w:color w:val="262626" w:themeColor="text1" w:themeTint="D9"/>
      <w:sz w:val="24"/>
      <w:szCs w:val="24"/>
      <w14:textFill>
        <w14:solidFill>
          <w14:schemeClr w14:val="tx1">
            <w14:lumMod w14:val="85000"/>
            <w14:lumOff w14:val="15000"/>
          </w14:schemeClr>
        </w14:solidFill>
      </w14:textFill>
      <w14:ligatures w14:val="standardContextual"/>
    </w:rPr>
  </w:style>
  <w:style w:type="paragraph" w:styleId="10">
    <w:name w:val="heading 9"/>
    <w:basedOn w:val="1"/>
    <w:next w:val="1"/>
    <w:link w:val="30"/>
    <w:semiHidden/>
    <w:unhideWhenUsed/>
    <w:qFormat/>
    <w:uiPriority w:val="9"/>
    <w:pPr>
      <w:keepNext/>
      <w:keepLines/>
      <w:widowControl/>
      <w:spacing w:line="278" w:lineRule="auto"/>
      <w:jc w:val="left"/>
      <w:outlineLvl w:val="8"/>
    </w:pPr>
    <w:rPr>
      <w:rFonts w:eastAsiaTheme="majorEastAsia" w:cstheme="majorBidi"/>
      <w:color w:val="262626" w:themeColor="text1" w:themeTint="D9"/>
      <w:sz w:val="24"/>
      <w:szCs w:val="24"/>
      <w14:textFill>
        <w14:solidFill>
          <w14:schemeClr w14:val="tx1">
            <w14:lumMod w14:val="85000"/>
            <w14:lumOff w14:val="15000"/>
          </w14:schemeClr>
        </w14:solidFill>
      </w14:textFill>
      <w14:ligatures w14:val="standardContextual"/>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11">
    <w:name w:val="Body Text Indent"/>
    <w:basedOn w:val="1"/>
    <w:link w:val="43"/>
    <w:qFormat/>
    <w:uiPriority w:val="0"/>
    <w:pPr>
      <w:ind w:firstLine="480"/>
    </w:pPr>
    <w:rPr>
      <w:rFonts w:cs="Times New Roman"/>
      <w:sz w:val="24"/>
      <w:szCs w:val="24"/>
    </w:rPr>
  </w:style>
  <w:style w:type="paragraph" w:styleId="12">
    <w:name w:val="Date"/>
    <w:basedOn w:val="1"/>
    <w:next w:val="1"/>
    <w:link w:val="49"/>
    <w:semiHidden/>
    <w:unhideWhenUsed/>
    <w:qFormat/>
    <w:uiPriority w:val="99"/>
    <w:pPr>
      <w:ind w:left="100" w:leftChars="2500"/>
    </w:pPr>
  </w:style>
  <w:style w:type="paragraph" w:styleId="13">
    <w:name w:val="Balloon Text"/>
    <w:basedOn w:val="1"/>
    <w:link w:val="50"/>
    <w:semiHidden/>
    <w:unhideWhenUsed/>
    <w:uiPriority w:val="99"/>
    <w:pPr>
      <w:spacing w:line="240" w:lineRule="auto"/>
    </w:pPr>
    <w:rPr>
      <w:sz w:val="18"/>
      <w:szCs w:val="18"/>
    </w:rPr>
  </w:style>
  <w:style w:type="paragraph" w:styleId="14">
    <w:name w:val="footer"/>
    <w:basedOn w:val="1"/>
    <w:link w:val="42"/>
    <w:unhideWhenUsed/>
    <w:qFormat/>
    <w:uiPriority w:val="99"/>
    <w:pPr>
      <w:tabs>
        <w:tab w:val="center" w:pos="4320"/>
        <w:tab w:val="right" w:pos="8640"/>
      </w:tabs>
    </w:pPr>
  </w:style>
  <w:style w:type="paragraph" w:styleId="15">
    <w:name w:val="header"/>
    <w:basedOn w:val="1"/>
    <w:link w:val="41"/>
    <w:unhideWhenUsed/>
    <w:qFormat/>
    <w:uiPriority w:val="99"/>
    <w:pPr>
      <w:tabs>
        <w:tab w:val="center" w:pos="4320"/>
        <w:tab w:val="right" w:pos="8640"/>
      </w:tabs>
    </w:pPr>
  </w:style>
  <w:style w:type="paragraph" w:styleId="16">
    <w:name w:val="Subtitle"/>
    <w:basedOn w:val="1"/>
    <w:next w:val="1"/>
    <w:link w:val="32"/>
    <w:qFormat/>
    <w:uiPriority w:val="11"/>
    <w:pPr>
      <w:widowControl/>
      <w:spacing w:after="160" w:line="278" w:lineRule="auto"/>
      <w:jc w:val="left"/>
    </w:pPr>
    <w:rPr>
      <w:rFonts w:eastAsiaTheme="majorEastAsia" w:cstheme="majorBidi"/>
      <w:color w:val="595959" w:themeColor="text1" w:themeTint="A6"/>
      <w:spacing w:val="15"/>
      <w:sz w:val="28"/>
      <w:szCs w:val="28"/>
      <w14:textFill>
        <w14:solidFill>
          <w14:schemeClr w14:val="tx1">
            <w14:lumMod w14:val="65000"/>
            <w14:lumOff w14:val="35000"/>
          </w14:schemeClr>
        </w14:solidFill>
      </w14:textFill>
      <w14:ligatures w14:val="standardContextual"/>
    </w:rPr>
  </w:style>
  <w:style w:type="paragraph" w:styleId="17">
    <w:name w:val="Title"/>
    <w:basedOn w:val="1"/>
    <w:next w:val="1"/>
    <w:link w:val="31"/>
    <w:qFormat/>
    <w:uiPriority w:val="10"/>
    <w:pPr>
      <w:widowControl/>
      <w:spacing w:after="80"/>
      <w:contextualSpacing/>
      <w:jc w:val="left"/>
    </w:pPr>
    <w:rPr>
      <w:rFonts w:asciiTheme="majorHAnsi" w:hAnsiTheme="majorHAnsi" w:eastAsiaTheme="majorEastAsia" w:cstheme="majorBidi"/>
      <w:spacing w:val="-10"/>
      <w:kern w:val="28"/>
      <w:sz w:val="56"/>
      <w:szCs w:val="56"/>
      <w14:ligatures w14:val="standardContextual"/>
    </w:rPr>
  </w:style>
  <w:style w:type="table" w:styleId="19">
    <w:name w:val="Table Grid"/>
    <w:basedOn w:val="18"/>
    <w:qFormat/>
    <w:uiPriority w:val="39"/>
    <w:rPr>
      <w:kern w:val="2"/>
      <w:sz w:val="24"/>
      <w:szCs w:val="24"/>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467886" w:themeColor="hyperlink"/>
      <w:u w:val="single"/>
      <w14:textFill>
        <w14:solidFill>
          <w14:schemeClr w14:val="hlink"/>
        </w14:solidFill>
      </w14:textFill>
    </w:rPr>
  </w:style>
  <w:style w:type="character" w:customStyle="1" w:styleId="22">
    <w:name w:val="标题 1 Char"/>
    <w:basedOn w:val="20"/>
    <w:link w:val="2"/>
    <w:qFormat/>
    <w:uiPriority w:val="9"/>
    <w:rPr>
      <w:rFonts w:ascii="黑体" w:hAnsi="黑体" w:eastAsia="黑体" w:cstheme="majorBidi"/>
      <w:kern w:val="2"/>
      <w:sz w:val="21"/>
      <w:szCs w:val="40"/>
      <w14:ligatures w14:val="standardContextual"/>
    </w:rPr>
  </w:style>
  <w:style w:type="character" w:customStyle="1" w:styleId="23">
    <w:name w:val="标题 2 Char"/>
    <w:basedOn w:val="20"/>
    <w:link w:val="3"/>
    <w:qFormat/>
    <w:uiPriority w:val="9"/>
    <w:rPr>
      <w:rFonts w:ascii="黑体" w:hAnsi="黑体" w:eastAsia="黑体" w:cstheme="majorBidi"/>
      <w:kern w:val="2"/>
      <w:sz w:val="21"/>
      <w:szCs w:val="32"/>
      <w14:ligatures w14:val="standardContextual"/>
    </w:rPr>
  </w:style>
  <w:style w:type="character" w:customStyle="1" w:styleId="24">
    <w:name w:val="标题 3 Char"/>
    <w:basedOn w:val="20"/>
    <w:link w:val="4"/>
    <w:qFormat/>
    <w:uiPriority w:val="9"/>
    <w:rPr>
      <w:rFonts w:ascii="黑体" w:hAnsi="黑体" w:eastAsia="黑体" w:cstheme="majorBidi"/>
      <w:kern w:val="2"/>
      <w:sz w:val="21"/>
      <w:szCs w:val="28"/>
      <w14:ligatures w14:val="standardContextual"/>
    </w:rPr>
  </w:style>
  <w:style w:type="character" w:customStyle="1" w:styleId="25">
    <w:name w:val="标题 4 Char"/>
    <w:basedOn w:val="20"/>
    <w:link w:val="5"/>
    <w:qFormat/>
    <w:uiPriority w:val="9"/>
    <w:rPr>
      <w:rFonts w:ascii="黑体" w:hAnsi="黑体" w:eastAsia="黑体" w:cstheme="majorBidi"/>
      <w:iCs/>
      <w:kern w:val="2"/>
      <w:sz w:val="21"/>
      <w:szCs w:val="24"/>
      <w14:ligatures w14:val="standardContextual"/>
    </w:rPr>
  </w:style>
  <w:style w:type="character" w:customStyle="1" w:styleId="26">
    <w:name w:val="标题 5 Char"/>
    <w:basedOn w:val="20"/>
    <w:link w:val="6"/>
    <w:semiHidden/>
    <w:qFormat/>
    <w:uiPriority w:val="9"/>
    <w:rPr>
      <w:rFonts w:eastAsiaTheme="majorEastAsia" w:cstheme="majorBidi"/>
      <w:color w:val="104862" w:themeColor="accent1" w:themeShade="BF"/>
    </w:rPr>
  </w:style>
  <w:style w:type="character" w:customStyle="1" w:styleId="27">
    <w:name w:val="标题 6 Char"/>
    <w:basedOn w:val="20"/>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8">
    <w:name w:val="标题 7 Char"/>
    <w:basedOn w:val="20"/>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8 Char"/>
    <w:basedOn w:val="20"/>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30">
    <w:name w:val="标题 9 Char"/>
    <w:basedOn w:val="20"/>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31">
    <w:name w:val="标题 Char"/>
    <w:basedOn w:val="20"/>
    <w:link w:val="17"/>
    <w:qFormat/>
    <w:uiPriority w:val="10"/>
    <w:rPr>
      <w:rFonts w:asciiTheme="majorHAnsi" w:hAnsiTheme="majorHAnsi" w:eastAsiaTheme="majorEastAsia" w:cstheme="majorBidi"/>
      <w:spacing w:val="-10"/>
      <w:kern w:val="28"/>
      <w:sz w:val="56"/>
      <w:szCs w:val="56"/>
    </w:rPr>
  </w:style>
  <w:style w:type="character" w:customStyle="1" w:styleId="32">
    <w:name w:val="副标题 Char"/>
    <w:basedOn w:val="20"/>
    <w:link w:val="16"/>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3">
    <w:name w:val="Quote"/>
    <w:basedOn w:val="1"/>
    <w:next w:val="1"/>
    <w:link w:val="34"/>
    <w:qFormat/>
    <w:uiPriority w:val="29"/>
    <w:pPr>
      <w:widowControl/>
      <w:spacing w:before="160" w:after="160" w:line="278" w:lineRule="auto"/>
      <w:jc w:val="center"/>
    </w:pPr>
    <w:rPr>
      <w:i/>
      <w:iCs/>
      <w:color w:val="404040" w:themeColor="text1" w:themeTint="BF"/>
      <w:sz w:val="24"/>
      <w:szCs w:val="24"/>
      <w14:textFill>
        <w14:solidFill>
          <w14:schemeClr w14:val="tx1">
            <w14:lumMod w14:val="75000"/>
            <w14:lumOff w14:val="25000"/>
          </w14:schemeClr>
        </w14:solidFill>
      </w14:textFill>
      <w14:ligatures w14:val="standardContextual"/>
    </w:rPr>
  </w:style>
  <w:style w:type="character" w:customStyle="1" w:styleId="34">
    <w:name w:val="引用 Char"/>
    <w:basedOn w:val="20"/>
    <w:link w:val="33"/>
    <w:qFormat/>
    <w:uiPriority w:val="29"/>
    <w:rPr>
      <w:i/>
      <w:iCs/>
      <w:color w:val="404040" w:themeColor="text1" w:themeTint="BF"/>
      <w14:textFill>
        <w14:solidFill>
          <w14:schemeClr w14:val="tx1">
            <w14:lumMod w14:val="75000"/>
            <w14:lumOff w14:val="25000"/>
          </w14:schemeClr>
        </w14:solidFill>
      </w14:textFill>
    </w:rPr>
  </w:style>
  <w:style w:type="paragraph" w:styleId="35">
    <w:name w:val="List Paragraph"/>
    <w:basedOn w:val="1"/>
    <w:qFormat/>
    <w:uiPriority w:val="34"/>
    <w:pPr>
      <w:widowControl/>
      <w:spacing w:after="160" w:line="278" w:lineRule="auto"/>
      <w:ind w:left="720"/>
      <w:contextualSpacing/>
      <w:jc w:val="left"/>
    </w:pPr>
    <w:rPr>
      <w:sz w:val="24"/>
      <w:szCs w:val="24"/>
      <w14:ligatures w14:val="standardContextual"/>
    </w:rPr>
  </w:style>
  <w:style w:type="character" w:customStyle="1" w:styleId="36">
    <w:name w:val="明显强调1"/>
    <w:basedOn w:val="20"/>
    <w:qFormat/>
    <w:uiPriority w:val="21"/>
    <w:rPr>
      <w:i/>
      <w:iCs/>
      <w:color w:val="104862" w:themeColor="accent1" w:themeShade="BF"/>
    </w:rPr>
  </w:style>
  <w:style w:type="paragraph" w:styleId="37">
    <w:name w:val="Intense Quote"/>
    <w:basedOn w:val="1"/>
    <w:next w:val="1"/>
    <w:link w:val="38"/>
    <w:qFormat/>
    <w:uiPriority w:val="30"/>
    <w:pPr>
      <w:widowControl/>
      <w:pBdr>
        <w:top w:val="single" w:color="0F4761" w:themeColor="accent1" w:themeShade="BF" w:sz="4" w:space="10"/>
        <w:bottom w:val="single" w:color="0F4761" w:themeColor="accent1" w:themeShade="BF" w:sz="4" w:space="10"/>
      </w:pBdr>
      <w:spacing w:before="360" w:after="360" w:line="278" w:lineRule="auto"/>
      <w:ind w:left="864" w:right="864"/>
      <w:jc w:val="center"/>
    </w:pPr>
    <w:rPr>
      <w:i/>
      <w:iCs/>
      <w:color w:val="104862" w:themeColor="accent1" w:themeShade="BF"/>
      <w:sz w:val="24"/>
      <w:szCs w:val="24"/>
      <w14:ligatures w14:val="standardContextual"/>
    </w:rPr>
  </w:style>
  <w:style w:type="character" w:customStyle="1" w:styleId="38">
    <w:name w:val="明显引用 Char"/>
    <w:basedOn w:val="20"/>
    <w:link w:val="37"/>
    <w:qFormat/>
    <w:uiPriority w:val="30"/>
    <w:rPr>
      <w:i/>
      <w:iCs/>
      <w:color w:val="104862" w:themeColor="accent1" w:themeShade="BF"/>
    </w:rPr>
  </w:style>
  <w:style w:type="character" w:customStyle="1" w:styleId="39">
    <w:name w:val="明显参考1"/>
    <w:basedOn w:val="20"/>
    <w:qFormat/>
    <w:uiPriority w:val="32"/>
    <w:rPr>
      <w:b/>
      <w:bCs/>
      <w:smallCaps/>
      <w:color w:val="104862" w:themeColor="accent1" w:themeShade="BF"/>
      <w:spacing w:val="5"/>
    </w:rPr>
  </w:style>
  <w:style w:type="paragraph" w:customStyle="1" w:styleId="40">
    <w:name w:val="列出段落1"/>
    <w:basedOn w:val="1"/>
    <w:qFormat/>
    <w:uiPriority w:val="0"/>
    <w:rPr>
      <w:rFonts w:cs="Times New Roman"/>
      <w:szCs w:val="21"/>
    </w:rPr>
  </w:style>
  <w:style w:type="character" w:customStyle="1" w:styleId="41">
    <w:name w:val="页眉 Char"/>
    <w:basedOn w:val="20"/>
    <w:link w:val="15"/>
    <w:qFormat/>
    <w:uiPriority w:val="99"/>
    <w:rPr>
      <w:sz w:val="21"/>
      <w:szCs w:val="22"/>
      <w14:ligatures w14:val="none"/>
    </w:rPr>
  </w:style>
  <w:style w:type="character" w:customStyle="1" w:styleId="42">
    <w:name w:val="页脚 Char"/>
    <w:basedOn w:val="20"/>
    <w:link w:val="14"/>
    <w:qFormat/>
    <w:uiPriority w:val="99"/>
    <w:rPr>
      <w:sz w:val="21"/>
      <w:szCs w:val="22"/>
      <w14:ligatures w14:val="none"/>
    </w:rPr>
  </w:style>
  <w:style w:type="character" w:customStyle="1" w:styleId="43">
    <w:name w:val="正文文本缩进 Char"/>
    <w:basedOn w:val="20"/>
    <w:link w:val="11"/>
    <w:qFormat/>
    <w:uiPriority w:val="0"/>
    <w:rPr>
      <w:rFonts w:ascii="Times New Roman" w:hAnsi="Times New Roman" w:eastAsia="宋体" w:cs="Times New Roman"/>
      <w14:ligatures w14:val="none"/>
    </w:rPr>
  </w:style>
  <w:style w:type="paragraph" w:customStyle="1" w:styleId="44">
    <w:name w:val="段"/>
    <w:link w:val="4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45">
    <w:name w:val="段 Char"/>
    <w:link w:val="44"/>
    <w:qFormat/>
    <w:uiPriority w:val="0"/>
    <w:rPr>
      <w:rFonts w:ascii="宋体" w:hAnsi="Times New Roman" w:eastAsia="宋体" w:cs="Times New Roman"/>
      <w:kern w:val="0"/>
      <w:sz w:val="21"/>
      <w:szCs w:val="20"/>
      <w14:ligatures w14:val="none"/>
    </w:rPr>
  </w:style>
  <w:style w:type="character" w:customStyle="1" w:styleId="46">
    <w:name w:val="style7"/>
    <w:basedOn w:val="20"/>
    <w:qFormat/>
    <w:uiPriority w:val="0"/>
  </w:style>
  <w:style w:type="paragraph" w:customStyle="1" w:styleId="47">
    <w:name w:val="修订1"/>
    <w:hidden/>
    <w:unhideWhenUsed/>
    <w:qFormat/>
    <w:uiPriority w:val="99"/>
    <w:rPr>
      <w:rFonts w:asciiTheme="minorHAnsi" w:hAnsiTheme="minorHAnsi" w:eastAsiaTheme="minorEastAsia" w:cstheme="minorBidi"/>
      <w:kern w:val="2"/>
      <w:sz w:val="21"/>
      <w:szCs w:val="22"/>
      <w:lang w:val="en-US" w:eastAsia="zh-CN" w:bidi="ar-SA"/>
    </w:rPr>
  </w:style>
  <w:style w:type="paragraph" w:customStyle="1" w:styleId="48">
    <w:name w:val="修订2"/>
    <w:hidden/>
    <w:unhideWhenUsed/>
    <w:qFormat/>
    <w:uiPriority w:val="99"/>
    <w:rPr>
      <w:rFonts w:asciiTheme="minorHAnsi" w:hAnsiTheme="minorHAnsi" w:eastAsiaTheme="minorEastAsia" w:cstheme="minorBidi"/>
      <w:kern w:val="2"/>
      <w:sz w:val="21"/>
      <w:szCs w:val="22"/>
      <w:lang w:val="en-US" w:eastAsia="zh-CN" w:bidi="ar-SA"/>
    </w:rPr>
  </w:style>
  <w:style w:type="character" w:customStyle="1" w:styleId="49">
    <w:name w:val="日期 Char"/>
    <w:basedOn w:val="20"/>
    <w:link w:val="12"/>
    <w:semiHidden/>
    <w:qFormat/>
    <w:uiPriority w:val="99"/>
    <w:rPr>
      <w:kern w:val="2"/>
      <w:sz w:val="21"/>
      <w:szCs w:val="22"/>
    </w:rPr>
  </w:style>
  <w:style w:type="character" w:customStyle="1" w:styleId="50">
    <w:name w:val="批注框文本 Char"/>
    <w:basedOn w:val="20"/>
    <w:link w:val="13"/>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0"/>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3743</Words>
  <Characters>4202</Characters>
  <Lines>32</Lines>
  <Paragraphs>9</Paragraphs>
  <TotalTime>167</TotalTime>
  <ScaleCrop>false</ScaleCrop>
  <LinksUpToDate>false</LinksUpToDate>
  <CharactersWithSpaces>4356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2024-11-27T15:42:00Z</dcterms:created>
  <dc:creator>启富 梁</dc:creator>
  <cp:lastModifiedBy>马雪</cp:lastModifiedBy>
  <cp:lastPrinted>2024-10-31T16:05:00Z</cp:lastPrinted>
  <dcterms:modified xsi:type="dcterms:W3CDTF">2025-04-03T08:44:45Z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12D1B1B171D0494DB9B91EBA7ED99C83_13</vt:lpwstr>
  </property>
  <property fmtid="{D5CDD505-2E9C-101B-9397-08002B2CF9AE}" pid="4" name="KSOTemplateDocerSaveRecord">
    <vt:lpwstr>eyJoZGlkIjoiYzIyYzJkNzEzMjQwZjVlZDkxNjFjOTcxNmM5ZTUzYzAiLCJ1c2VySWQiOiI3MDQ5NzI3MjUifQ==</vt:lpwstr>
  </property>
</Properties>
</file>