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EFC" w:rsidRDefault="00BF4EFC">
      <w:pPr>
        <w:spacing w:line="360" w:lineRule="auto"/>
        <w:rPr>
          <w:sz w:val="24"/>
        </w:rPr>
      </w:pPr>
    </w:p>
    <w:p w:rsidR="00BF4EFC" w:rsidRDefault="00BF4EFC">
      <w:pPr>
        <w:adjustRightInd w:val="0"/>
        <w:snapToGrid w:val="0"/>
        <w:spacing w:line="360" w:lineRule="auto"/>
        <w:rPr>
          <w:sz w:val="24"/>
        </w:rPr>
      </w:pPr>
    </w:p>
    <w:p w:rsidR="00BF4EFC" w:rsidRDefault="00A94BE9">
      <w:pPr>
        <w:pStyle w:val="1"/>
        <w:adjustRightInd w:val="0"/>
        <w:snapToGrid w:val="0"/>
        <w:spacing w:line="360" w:lineRule="auto"/>
        <w:ind w:left="357" w:firstLineChars="0" w:firstLine="0"/>
        <w:contextualSpacing/>
        <w:jc w:val="distribute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绿色食品生产操作规程</w:t>
      </w:r>
    </w:p>
    <w:p w:rsidR="00BF4EFC" w:rsidRDefault="00091C3B" w:rsidP="00091C3B">
      <w:pPr>
        <w:adjustRightInd w:val="0"/>
        <w:snapToGrid w:val="0"/>
        <w:spacing w:line="360" w:lineRule="auto"/>
        <w:ind w:firstLineChars="200" w:firstLine="560"/>
        <w:jc w:val="right"/>
        <w:outlineLvl w:val="0"/>
        <w:rPr>
          <w:rFonts w:ascii="黑体" w:eastAsia="黑体" w:hAnsi="黑体" w:cs="黑体"/>
          <w:kern w:val="21"/>
          <w:sz w:val="28"/>
          <w:szCs w:val="28"/>
        </w:rPr>
      </w:pPr>
      <w:r>
        <w:rPr>
          <w:rFonts w:ascii="黑体" w:eastAsia="黑体" w:hAnsi="黑体" w:cs="黑体" w:hint="eastAsia"/>
          <w:kern w:val="21"/>
          <w:sz w:val="28"/>
          <w:szCs w:val="28"/>
        </w:rPr>
        <w:t>LB/T 103-2020</w:t>
      </w:r>
    </w:p>
    <w:p w:rsidR="00BF4EFC" w:rsidRDefault="00E92516">
      <w:pPr>
        <w:adjustRightInd w:val="0"/>
        <w:snapToGrid w:val="0"/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6" o:spid="_x0000_s1026" type="#_x0000_t32" style="position:absolute;left:0;text-align:left;margin-left:-19.1pt;margin-top:4.5pt;width:456.35pt;height:0;z-index:251657216" o:gfxdata="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7cdCidYAAAAHAQAADwAA&#10;AAAAAAABACAAAAAiAAAAZHJzL2Rvd25yZXYueG1sUEsBAhQAFAAAAAgAh07iQC448cffAQAAowMA&#10;AA4AAAAAAAAAAQAgAAAAJQEAAGRycy9lMm9Eb2MueG1sUEsFBgAAAAAGAAYAWQEAAHYFAAAAAA==&#10;"/>
        </w:pict>
      </w:r>
    </w:p>
    <w:p w:rsidR="00BF4EFC" w:rsidRDefault="00BF4EFC">
      <w:pPr>
        <w:adjustRightInd w:val="0"/>
        <w:snapToGrid w:val="0"/>
        <w:spacing w:line="360" w:lineRule="auto"/>
        <w:jc w:val="center"/>
        <w:rPr>
          <w:b/>
          <w:bCs/>
          <w:sz w:val="32"/>
          <w:szCs w:val="32"/>
        </w:rPr>
      </w:pPr>
    </w:p>
    <w:p w:rsidR="00BF4EFC" w:rsidRDefault="00BF4EFC">
      <w:pPr>
        <w:adjustRightInd w:val="0"/>
        <w:snapToGrid w:val="0"/>
        <w:spacing w:line="360" w:lineRule="auto"/>
        <w:jc w:val="center"/>
        <w:rPr>
          <w:b/>
          <w:bCs/>
          <w:sz w:val="32"/>
          <w:szCs w:val="32"/>
        </w:rPr>
      </w:pPr>
    </w:p>
    <w:p w:rsidR="00BF4EFC" w:rsidRDefault="00A94BE9">
      <w:pPr>
        <w:adjustRightInd w:val="0"/>
        <w:snapToGrid w:val="0"/>
        <w:spacing w:line="360" w:lineRule="auto"/>
        <w:jc w:val="center"/>
        <w:rPr>
          <w:rFonts w:eastAsia="黑体"/>
          <w:sz w:val="52"/>
          <w:szCs w:val="52"/>
        </w:rPr>
      </w:pPr>
      <w:r>
        <w:rPr>
          <w:rFonts w:eastAsia="黑体"/>
          <w:sz w:val="52"/>
          <w:szCs w:val="52"/>
        </w:rPr>
        <w:t>绿色食品</w:t>
      </w:r>
    </w:p>
    <w:p w:rsidR="00BF4EFC" w:rsidRDefault="00A94BE9">
      <w:pPr>
        <w:adjustRightInd w:val="0"/>
        <w:snapToGrid w:val="0"/>
        <w:spacing w:line="360" w:lineRule="auto"/>
        <w:jc w:val="center"/>
        <w:rPr>
          <w:rFonts w:eastAsia="黑体"/>
          <w:sz w:val="52"/>
          <w:szCs w:val="52"/>
        </w:rPr>
      </w:pPr>
      <w:r>
        <w:rPr>
          <w:rFonts w:eastAsia="黑体"/>
          <w:sz w:val="52"/>
          <w:szCs w:val="52"/>
        </w:rPr>
        <w:t>预</w:t>
      </w:r>
      <w:proofErr w:type="gramStart"/>
      <w:r>
        <w:rPr>
          <w:rFonts w:eastAsia="黑体"/>
          <w:sz w:val="52"/>
          <w:szCs w:val="52"/>
        </w:rPr>
        <w:t>榨</w:t>
      </w:r>
      <w:proofErr w:type="gramEnd"/>
      <w:r>
        <w:rPr>
          <w:rFonts w:eastAsia="黑体"/>
          <w:sz w:val="52"/>
          <w:szCs w:val="52"/>
        </w:rPr>
        <w:t>浸出</w:t>
      </w:r>
      <w:proofErr w:type="gramStart"/>
      <w:r>
        <w:rPr>
          <w:rFonts w:eastAsia="黑体"/>
          <w:sz w:val="52"/>
          <w:szCs w:val="52"/>
        </w:rPr>
        <w:t>菜籽油</w:t>
      </w:r>
      <w:proofErr w:type="gramEnd"/>
      <w:r>
        <w:rPr>
          <w:rFonts w:eastAsia="黑体"/>
          <w:sz w:val="52"/>
          <w:szCs w:val="52"/>
        </w:rPr>
        <w:t>生产操作规程</w:t>
      </w:r>
    </w:p>
    <w:p w:rsidR="00BF4EFC" w:rsidRDefault="00BF4EFC">
      <w:pPr>
        <w:adjustRightInd w:val="0"/>
        <w:snapToGrid w:val="0"/>
        <w:spacing w:line="360" w:lineRule="auto"/>
        <w:rPr>
          <w:rFonts w:eastAsia="黑体"/>
          <w:sz w:val="48"/>
          <w:szCs w:val="48"/>
        </w:rPr>
      </w:pPr>
    </w:p>
    <w:p w:rsidR="00BF4EFC" w:rsidRDefault="00BF4EFC">
      <w:pPr>
        <w:adjustRightInd w:val="0"/>
        <w:snapToGrid w:val="0"/>
        <w:spacing w:line="360" w:lineRule="auto"/>
        <w:rPr>
          <w:b/>
          <w:bCs/>
          <w:sz w:val="32"/>
          <w:szCs w:val="32"/>
        </w:rPr>
      </w:pPr>
    </w:p>
    <w:p w:rsidR="00BF4EFC" w:rsidRDefault="00BF4EFC">
      <w:pPr>
        <w:adjustRightInd w:val="0"/>
        <w:snapToGrid w:val="0"/>
        <w:spacing w:line="360" w:lineRule="auto"/>
        <w:jc w:val="center"/>
        <w:rPr>
          <w:b/>
          <w:bCs/>
          <w:sz w:val="32"/>
          <w:szCs w:val="32"/>
        </w:rPr>
      </w:pPr>
    </w:p>
    <w:p w:rsidR="00BF4EFC" w:rsidRDefault="00BF4EFC">
      <w:pPr>
        <w:adjustRightInd w:val="0"/>
        <w:snapToGrid w:val="0"/>
        <w:spacing w:line="360" w:lineRule="auto"/>
        <w:rPr>
          <w:b/>
          <w:bCs/>
          <w:sz w:val="32"/>
          <w:szCs w:val="32"/>
        </w:rPr>
      </w:pPr>
    </w:p>
    <w:p w:rsidR="00BF4EFC" w:rsidRDefault="00BF4EFC">
      <w:pPr>
        <w:adjustRightInd w:val="0"/>
        <w:snapToGrid w:val="0"/>
        <w:spacing w:line="360" w:lineRule="auto"/>
        <w:rPr>
          <w:b/>
          <w:bCs/>
          <w:sz w:val="32"/>
          <w:szCs w:val="32"/>
        </w:rPr>
      </w:pPr>
    </w:p>
    <w:p w:rsidR="00BF4EFC" w:rsidRDefault="00BF4EFC">
      <w:pPr>
        <w:adjustRightInd w:val="0"/>
        <w:snapToGrid w:val="0"/>
        <w:spacing w:line="360" w:lineRule="auto"/>
        <w:rPr>
          <w:b/>
          <w:bCs/>
          <w:sz w:val="32"/>
          <w:szCs w:val="32"/>
        </w:rPr>
      </w:pPr>
    </w:p>
    <w:p w:rsidR="00BF4EFC" w:rsidRDefault="00BF4EFC">
      <w:pPr>
        <w:adjustRightInd w:val="0"/>
        <w:snapToGrid w:val="0"/>
        <w:spacing w:line="360" w:lineRule="auto"/>
        <w:rPr>
          <w:b/>
          <w:bCs/>
          <w:sz w:val="32"/>
          <w:szCs w:val="32"/>
        </w:rPr>
      </w:pPr>
    </w:p>
    <w:p w:rsidR="00BF4EFC" w:rsidRDefault="00BF4EFC">
      <w:pPr>
        <w:adjustRightInd w:val="0"/>
        <w:snapToGrid w:val="0"/>
        <w:spacing w:line="360" w:lineRule="auto"/>
        <w:ind w:firstLineChars="200" w:firstLine="1040"/>
        <w:jc w:val="center"/>
        <w:rPr>
          <w:kern w:val="21"/>
          <w:sz w:val="52"/>
          <w:szCs w:val="52"/>
        </w:rPr>
      </w:pPr>
    </w:p>
    <w:p w:rsidR="00BF4EFC" w:rsidRDefault="00BF4EFC">
      <w:pPr>
        <w:adjustRightInd w:val="0"/>
        <w:snapToGrid w:val="0"/>
        <w:spacing w:line="360" w:lineRule="auto"/>
        <w:ind w:firstLineChars="200" w:firstLine="1040"/>
        <w:jc w:val="center"/>
        <w:rPr>
          <w:kern w:val="21"/>
          <w:sz w:val="52"/>
          <w:szCs w:val="52"/>
        </w:rPr>
      </w:pPr>
    </w:p>
    <w:p w:rsidR="00BF4EFC" w:rsidRDefault="00E92516">
      <w:pPr>
        <w:adjustRightInd w:val="0"/>
        <w:snapToGrid w:val="0"/>
        <w:spacing w:line="360" w:lineRule="auto"/>
        <w:jc w:val="left"/>
        <w:rPr>
          <w:rFonts w:ascii="黑体" w:eastAsia="黑体" w:hAnsi="黑体" w:cs="黑体"/>
          <w:kern w:val="21"/>
          <w:sz w:val="28"/>
          <w:szCs w:val="28"/>
        </w:rPr>
      </w:pPr>
      <w:r w:rsidRPr="00E92516">
        <w:rPr>
          <w:kern w:val="21"/>
          <w:sz w:val="36"/>
          <w:szCs w:val="36"/>
        </w:rPr>
        <w:pict>
          <v:shape id="自选图形 5" o:spid="_x0000_s1028" type="#_x0000_t32" style="position:absolute;margin-left:-19.1pt;margin-top:19.15pt;width:456.35pt;height:0;z-index:251658240" o:gfxdata="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4t9lHXAAAACQEAAA8A&#10;AAAAAAAAAQAgAAAAIgAAAGRycy9kb3ducmV2LnhtbFBLAQIUABQAAAAIAIdO4kAt7Xox3wEAAKMD&#10;AAAOAAAAAAAAAAEAIAAAACYBAABkcnMvZTJvRG9jLnhtbFBLBQYAAAAABgAGAFkBAAB3BQAAAAA=&#10;"/>
        </w:pict>
      </w:r>
      <w:r w:rsidR="00091C3B">
        <w:rPr>
          <w:rFonts w:ascii="黑体" w:eastAsia="黑体" w:hAnsi="黑体" w:cs="黑体" w:hint="eastAsia"/>
          <w:kern w:val="21"/>
          <w:sz w:val="28"/>
          <w:szCs w:val="28"/>
        </w:rPr>
        <w:t>2020-08</w:t>
      </w:r>
      <w:r w:rsidR="004F5273">
        <w:rPr>
          <w:rFonts w:ascii="黑体" w:eastAsia="黑体" w:hAnsi="黑体" w:cs="黑体" w:hint="eastAsia"/>
          <w:kern w:val="21"/>
          <w:sz w:val="28"/>
          <w:szCs w:val="28"/>
        </w:rPr>
        <w:t>-20</w:t>
      </w:r>
      <w:r w:rsidR="00A94BE9">
        <w:rPr>
          <w:rFonts w:ascii="黑体" w:eastAsia="黑体" w:hAnsi="黑体" w:cs="黑体" w:hint="eastAsia"/>
          <w:kern w:val="21"/>
          <w:sz w:val="28"/>
          <w:szCs w:val="28"/>
        </w:rPr>
        <w:t xml:space="preserve">发布  </w:t>
      </w:r>
      <w:r w:rsidR="00091C3B">
        <w:rPr>
          <w:rFonts w:ascii="黑体" w:eastAsia="黑体" w:hAnsi="黑体" w:cs="黑体" w:hint="eastAsia"/>
          <w:kern w:val="21"/>
          <w:sz w:val="28"/>
          <w:szCs w:val="28"/>
        </w:rPr>
        <w:t xml:space="preserve">                            2020-11-01</w:t>
      </w:r>
      <w:r w:rsidR="00A94BE9">
        <w:rPr>
          <w:rFonts w:ascii="黑体" w:eastAsia="黑体" w:hAnsi="黑体" w:cs="黑体" w:hint="eastAsia"/>
          <w:kern w:val="21"/>
          <w:sz w:val="28"/>
          <w:szCs w:val="28"/>
        </w:rPr>
        <w:t>实施</w:t>
      </w:r>
    </w:p>
    <w:p w:rsidR="00BF4EFC" w:rsidRDefault="00A94BE9">
      <w:pPr>
        <w:adjustRightInd w:val="0"/>
        <w:snapToGrid w:val="0"/>
        <w:spacing w:line="360" w:lineRule="auto"/>
        <w:ind w:firstLineChars="200" w:firstLine="643"/>
        <w:jc w:val="center"/>
        <w:rPr>
          <w:b/>
          <w:kern w:val="21"/>
          <w:sz w:val="36"/>
          <w:szCs w:val="36"/>
        </w:rPr>
      </w:pPr>
      <w:r>
        <w:rPr>
          <w:b/>
          <w:kern w:val="21"/>
          <w:sz w:val="32"/>
          <w:szCs w:val="32"/>
        </w:rPr>
        <w:t>中</w:t>
      </w:r>
      <w:r>
        <w:rPr>
          <w:rFonts w:hint="eastAsia"/>
          <w:b/>
          <w:kern w:val="21"/>
          <w:sz w:val="32"/>
          <w:szCs w:val="32"/>
        </w:rPr>
        <w:t xml:space="preserve"> </w:t>
      </w:r>
      <w:r>
        <w:rPr>
          <w:b/>
          <w:kern w:val="21"/>
          <w:sz w:val="32"/>
          <w:szCs w:val="32"/>
        </w:rPr>
        <w:t>国</w:t>
      </w:r>
      <w:r>
        <w:rPr>
          <w:rFonts w:hint="eastAsia"/>
          <w:b/>
          <w:kern w:val="21"/>
          <w:sz w:val="32"/>
          <w:szCs w:val="32"/>
        </w:rPr>
        <w:t xml:space="preserve"> </w:t>
      </w:r>
      <w:r>
        <w:rPr>
          <w:b/>
          <w:kern w:val="21"/>
          <w:sz w:val="32"/>
          <w:szCs w:val="32"/>
        </w:rPr>
        <w:t>绿</w:t>
      </w:r>
      <w:r>
        <w:rPr>
          <w:rFonts w:hint="eastAsia"/>
          <w:b/>
          <w:kern w:val="21"/>
          <w:sz w:val="32"/>
          <w:szCs w:val="32"/>
        </w:rPr>
        <w:t xml:space="preserve"> </w:t>
      </w:r>
      <w:r>
        <w:rPr>
          <w:b/>
          <w:kern w:val="21"/>
          <w:sz w:val="32"/>
          <w:szCs w:val="32"/>
        </w:rPr>
        <w:t>色</w:t>
      </w:r>
      <w:r>
        <w:rPr>
          <w:rFonts w:hint="eastAsia"/>
          <w:b/>
          <w:kern w:val="21"/>
          <w:sz w:val="32"/>
          <w:szCs w:val="32"/>
        </w:rPr>
        <w:t xml:space="preserve"> </w:t>
      </w:r>
      <w:r>
        <w:rPr>
          <w:b/>
          <w:kern w:val="21"/>
          <w:sz w:val="32"/>
          <w:szCs w:val="32"/>
        </w:rPr>
        <w:t>食</w:t>
      </w:r>
      <w:r>
        <w:rPr>
          <w:rFonts w:hint="eastAsia"/>
          <w:b/>
          <w:kern w:val="21"/>
          <w:sz w:val="32"/>
          <w:szCs w:val="32"/>
        </w:rPr>
        <w:t xml:space="preserve"> </w:t>
      </w:r>
      <w:r>
        <w:rPr>
          <w:b/>
          <w:kern w:val="21"/>
          <w:sz w:val="32"/>
          <w:szCs w:val="32"/>
        </w:rPr>
        <w:t>品</w:t>
      </w:r>
      <w:r>
        <w:rPr>
          <w:rFonts w:hint="eastAsia"/>
          <w:b/>
          <w:kern w:val="21"/>
          <w:sz w:val="32"/>
          <w:szCs w:val="32"/>
        </w:rPr>
        <w:t xml:space="preserve"> </w:t>
      </w:r>
      <w:r>
        <w:rPr>
          <w:b/>
          <w:kern w:val="21"/>
          <w:sz w:val="32"/>
          <w:szCs w:val="32"/>
        </w:rPr>
        <w:t>发</w:t>
      </w:r>
      <w:r>
        <w:rPr>
          <w:rFonts w:hint="eastAsia"/>
          <w:b/>
          <w:kern w:val="21"/>
          <w:sz w:val="32"/>
          <w:szCs w:val="32"/>
        </w:rPr>
        <w:t xml:space="preserve"> </w:t>
      </w:r>
      <w:r>
        <w:rPr>
          <w:b/>
          <w:kern w:val="21"/>
          <w:sz w:val="32"/>
          <w:szCs w:val="32"/>
        </w:rPr>
        <w:t>展</w:t>
      </w:r>
      <w:r>
        <w:rPr>
          <w:rFonts w:hint="eastAsia"/>
          <w:b/>
          <w:kern w:val="21"/>
          <w:sz w:val="32"/>
          <w:szCs w:val="32"/>
        </w:rPr>
        <w:t xml:space="preserve"> </w:t>
      </w:r>
      <w:r>
        <w:rPr>
          <w:b/>
          <w:kern w:val="21"/>
          <w:sz w:val="32"/>
          <w:szCs w:val="32"/>
        </w:rPr>
        <w:t>中</w:t>
      </w:r>
      <w:r>
        <w:rPr>
          <w:rFonts w:hint="eastAsia"/>
          <w:b/>
          <w:kern w:val="21"/>
          <w:sz w:val="32"/>
          <w:szCs w:val="32"/>
        </w:rPr>
        <w:t xml:space="preserve"> </w:t>
      </w:r>
      <w:r>
        <w:rPr>
          <w:b/>
          <w:kern w:val="21"/>
          <w:sz w:val="32"/>
          <w:szCs w:val="32"/>
        </w:rPr>
        <w:t>心</w:t>
      </w:r>
      <w:r>
        <w:rPr>
          <w:b/>
          <w:kern w:val="21"/>
          <w:sz w:val="36"/>
          <w:szCs w:val="36"/>
        </w:rPr>
        <w:t xml:space="preserve">  </w:t>
      </w:r>
      <w:r>
        <w:rPr>
          <w:b/>
          <w:kern w:val="21"/>
          <w:sz w:val="28"/>
          <w:szCs w:val="28"/>
        </w:rPr>
        <w:t>发</w:t>
      </w:r>
      <w:r>
        <w:rPr>
          <w:b/>
          <w:kern w:val="21"/>
          <w:sz w:val="28"/>
          <w:szCs w:val="28"/>
        </w:rPr>
        <w:t xml:space="preserve"> </w:t>
      </w:r>
      <w:r>
        <w:rPr>
          <w:b/>
          <w:kern w:val="21"/>
          <w:sz w:val="28"/>
          <w:szCs w:val="28"/>
        </w:rPr>
        <w:t>布</w:t>
      </w:r>
    </w:p>
    <w:p w:rsidR="00BF4EFC" w:rsidRDefault="00BF4EFC">
      <w:pPr>
        <w:pStyle w:val="HTML"/>
        <w:widowControl/>
        <w:shd w:val="clear" w:color="auto" w:fill="FFFFFF"/>
        <w:adjustRightInd w:val="0"/>
        <w:snapToGrid w:val="0"/>
        <w:spacing w:before="150" w:after="150" w:line="360" w:lineRule="auto"/>
        <w:ind w:firstLineChars="300" w:firstLine="960"/>
        <w:jc w:val="center"/>
        <w:rPr>
          <w:rFonts w:ascii="Times New Roman" w:eastAsia="黑体" w:hAnsi="Times New Roman" w:hint="default"/>
          <w:kern w:val="21"/>
          <w:sz w:val="32"/>
          <w:szCs w:val="32"/>
        </w:rPr>
      </w:pPr>
    </w:p>
    <w:p w:rsidR="00BF4EFC" w:rsidRDefault="00A94BE9">
      <w:pPr>
        <w:pStyle w:val="HTML"/>
        <w:widowControl/>
        <w:shd w:val="clear" w:color="auto" w:fill="FFFFFF"/>
        <w:adjustRightInd w:val="0"/>
        <w:snapToGrid w:val="0"/>
        <w:spacing w:before="150" w:after="150" w:line="360" w:lineRule="auto"/>
        <w:ind w:firstLineChars="300" w:firstLine="960"/>
        <w:jc w:val="center"/>
        <w:rPr>
          <w:rFonts w:ascii="Times New Roman" w:hAnsi="Times New Roman" w:hint="default"/>
          <w:kern w:val="21"/>
        </w:rPr>
      </w:pPr>
      <w:r>
        <w:rPr>
          <w:rFonts w:ascii="Times New Roman" w:eastAsia="黑体" w:hAnsi="Times New Roman" w:hint="default"/>
          <w:kern w:val="21"/>
          <w:sz w:val="32"/>
          <w:szCs w:val="32"/>
        </w:rPr>
        <w:lastRenderedPageBreak/>
        <w:t>前</w:t>
      </w:r>
      <w:r>
        <w:rPr>
          <w:rFonts w:ascii="Times New Roman" w:eastAsia="黑体" w:hAnsi="Times New Roman" w:hint="default"/>
          <w:kern w:val="21"/>
          <w:sz w:val="32"/>
          <w:szCs w:val="32"/>
        </w:rPr>
        <w:t xml:space="preserve">  </w:t>
      </w:r>
      <w:r>
        <w:rPr>
          <w:rFonts w:ascii="Times New Roman" w:eastAsia="黑体" w:hAnsi="Times New Roman" w:hint="default"/>
          <w:kern w:val="21"/>
          <w:sz w:val="32"/>
          <w:szCs w:val="32"/>
        </w:rPr>
        <w:t>言</w:t>
      </w:r>
    </w:p>
    <w:p w:rsidR="00BF4EFC" w:rsidRDefault="00BF4EFC">
      <w:pPr>
        <w:pStyle w:val="HTML"/>
        <w:widowControl/>
        <w:shd w:val="clear" w:color="auto" w:fill="FFFFFF"/>
        <w:adjustRightInd w:val="0"/>
        <w:snapToGrid w:val="0"/>
        <w:spacing w:before="150" w:after="150" w:line="360" w:lineRule="auto"/>
        <w:ind w:firstLineChars="300" w:firstLine="720"/>
        <w:jc w:val="center"/>
        <w:rPr>
          <w:rFonts w:ascii="Times New Roman" w:hAnsi="Times New Roman" w:hint="default"/>
          <w:kern w:val="21"/>
        </w:rPr>
      </w:pPr>
    </w:p>
    <w:p w:rsidR="00BF4EFC" w:rsidRDefault="00A94BE9">
      <w:pPr>
        <w:pStyle w:val="HTML"/>
        <w:widowControl/>
        <w:shd w:val="clear" w:color="auto" w:fill="FFFFFF"/>
        <w:adjustRightInd w:val="0"/>
        <w:snapToGrid w:val="0"/>
        <w:spacing w:line="360" w:lineRule="auto"/>
        <w:ind w:firstLineChars="200" w:firstLine="420"/>
        <w:rPr>
          <w:rFonts w:ascii="Times New Roman" w:hAnsi="Times New Roman" w:hint="default"/>
          <w:kern w:val="21"/>
          <w:sz w:val="21"/>
          <w:szCs w:val="21"/>
        </w:rPr>
      </w:pPr>
      <w:r>
        <w:rPr>
          <w:rFonts w:ascii="Times New Roman" w:hAnsi="Times New Roman" w:hint="default"/>
          <w:kern w:val="21"/>
          <w:sz w:val="21"/>
          <w:szCs w:val="21"/>
        </w:rPr>
        <w:t>本规程由中国绿色食品发展中心提出并归口。</w:t>
      </w:r>
    </w:p>
    <w:p w:rsidR="00BF4EFC" w:rsidRDefault="00A94BE9">
      <w:pPr>
        <w:pStyle w:val="HTML"/>
        <w:widowControl/>
        <w:shd w:val="clear" w:color="auto" w:fill="FFFFFF"/>
        <w:adjustRightInd w:val="0"/>
        <w:snapToGrid w:val="0"/>
        <w:spacing w:line="360" w:lineRule="auto"/>
        <w:ind w:firstLineChars="200" w:firstLine="420"/>
        <w:rPr>
          <w:rFonts w:ascii="Times New Roman" w:hAnsi="Times New Roman" w:hint="default"/>
          <w:kern w:val="21"/>
          <w:sz w:val="21"/>
          <w:szCs w:val="21"/>
        </w:rPr>
      </w:pPr>
      <w:r>
        <w:rPr>
          <w:rFonts w:ascii="Times New Roman" w:hAnsi="Times New Roman" w:hint="default"/>
          <w:kern w:val="21"/>
          <w:sz w:val="21"/>
          <w:szCs w:val="21"/>
        </w:rPr>
        <w:t>本规程起草单位：湖南省农产品加工研究所</w:t>
      </w:r>
      <w:r>
        <w:rPr>
          <w:rFonts w:ascii="Times New Roman" w:hAnsi="Times New Roman"/>
          <w:kern w:val="21"/>
          <w:sz w:val="21"/>
          <w:szCs w:val="21"/>
        </w:rPr>
        <w:t>、</w:t>
      </w:r>
      <w:r>
        <w:rPr>
          <w:rFonts w:ascii="Times New Roman" w:hAnsi="Times New Roman" w:hint="default"/>
          <w:kern w:val="21"/>
          <w:sz w:val="21"/>
          <w:szCs w:val="21"/>
        </w:rPr>
        <w:t>湖南省食品测试分析中心</w:t>
      </w:r>
      <w:r>
        <w:rPr>
          <w:rFonts w:ascii="Times New Roman" w:hAnsi="Times New Roman"/>
          <w:kern w:val="21"/>
          <w:sz w:val="21"/>
          <w:szCs w:val="21"/>
        </w:rPr>
        <w:t>、</w:t>
      </w:r>
      <w:r>
        <w:rPr>
          <w:rFonts w:ascii="Times New Roman" w:hAnsi="Times New Roman" w:hint="default"/>
          <w:kern w:val="21"/>
          <w:sz w:val="21"/>
          <w:szCs w:val="21"/>
        </w:rPr>
        <w:t>中国绿色食品发展中心、道道全粮油股份有限公司</w:t>
      </w:r>
      <w:r>
        <w:rPr>
          <w:rFonts w:ascii="Times New Roman" w:hAnsi="Times New Roman"/>
          <w:kern w:val="21"/>
          <w:sz w:val="21"/>
          <w:szCs w:val="21"/>
        </w:rPr>
        <w:t>。</w:t>
      </w:r>
    </w:p>
    <w:p w:rsidR="00BF4EFC" w:rsidRDefault="00A94BE9">
      <w:pPr>
        <w:pStyle w:val="HTML"/>
        <w:widowControl/>
        <w:shd w:val="clear" w:color="auto" w:fill="FFFFFF"/>
        <w:adjustRightInd w:val="0"/>
        <w:snapToGrid w:val="0"/>
        <w:spacing w:line="360" w:lineRule="auto"/>
        <w:ind w:firstLineChars="200" w:firstLine="420"/>
        <w:rPr>
          <w:rFonts w:ascii="Times New Roman" w:hAnsi="Times New Roman" w:hint="default"/>
          <w:kern w:val="21"/>
          <w:sz w:val="21"/>
          <w:szCs w:val="21"/>
        </w:rPr>
      </w:pPr>
      <w:r>
        <w:rPr>
          <w:rFonts w:ascii="Times New Roman" w:hAnsi="Times New Roman" w:hint="default"/>
          <w:kern w:val="21"/>
          <w:sz w:val="21"/>
          <w:szCs w:val="21"/>
        </w:rPr>
        <w:t>本规程主要起草人：何双、李高阳、</w:t>
      </w:r>
      <w:r>
        <w:rPr>
          <w:rFonts w:ascii="Times New Roman" w:hAnsi="Times New Roman"/>
          <w:kern w:val="21"/>
          <w:sz w:val="21"/>
          <w:szCs w:val="21"/>
        </w:rPr>
        <w:t>单杨、</w:t>
      </w:r>
      <w:r>
        <w:rPr>
          <w:rFonts w:ascii="Times New Roman" w:hAnsi="Times New Roman" w:hint="default"/>
          <w:kern w:val="21"/>
          <w:sz w:val="21"/>
          <w:szCs w:val="21"/>
        </w:rPr>
        <w:t>张</w:t>
      </w:r>
      <w:r>
        <w:rPr>
          <w:rFonts w:ascii="Times New Roman" w:hAnsi="Times New Roman"/>
          <w:kern w:val="21"/>
          <w:sz w:val="21"/>
          <w:szCs w:val="21"/>
        </w:rPr>
        <w:t>宪</w:t>
      </w:r>
      <w:r>
        <w:rPr>
          <w:rFonts w:ascii="Times New Roman" w:hAnsi="Times New Roman" w:hint="default"/>
          <w:kern w:val="21"/>
          <w:sz w:val="21"/>
          <w:szCs w:val="21"/>
        </w:rPr>
        <w:t>、</w:t>
      </w:r>
      <w:r>
        <w:rPr>
          <w:rFonts w:ascii="Times New Roman" w:hAnsi="Times New Roman"/>
          <w:kern w:val="21"/>
          <w:sz w:val="21"/>
          <w:szCs w:val="21"/>
        </w:rPr>
        <w:t>熊巍林、尚雪波</w:t>
      </w:r>
      <w:r>
        <w:rPr>
          <w:rFonts w:ascii="Times New Roman" w:hAnsi="Times New Roman" w:hint="default"/>
          <w:kern w:val="21"/>
          <w:sz w:val="21"/>
          <w:szCs w:val="21"/>
        </w:rPr>
        <w:t>、</w:t>
      </w:r>
      <w:r>
        <w:rPr>
          <w:rFonts w:ascii="Times New Roman" w:hAnsi="Times New Roman"/>
          <w:kern w:val="21"/>
          <w:sz w:val="21"/>
          <w:szCs w:val="21"/>
        </w:rPr>
        <w:t>李志坚、</w:t>
      </w:r>
      <w:r>
        <w:rPr>
          <w:rFonts w:ascii="Times New Roman" w:hAnsi="Times New Roman" w:hint="default"/>
          <w:kern w:val="21"/>
          <w:sz w:val="21"/>
          <w:szCs w:val="21"/>
        </w:rPr>
        <w:t>袁洪燕</w:t>
      </w:r>
      <w:r>
        <w:rPr>
          <w:rFonts w:ascii="Times New Roman" w:hAnsi="Times New Roman"/>
          <w:kern w:val="21"/>
          <w:sz w:val="21"/>
          <w:szCs w:val="21"/>
        </w:rPr>
        <w:t>、谭欢</w:t>
      </w:r>
      <w:r>
        <w:rPr>
          <w:rFonts w:ascii="Times New Roman" w:hAnsi="Times New Roman" w:hint="default"/>
          <w:kern w:val="21"/>
          <w:sz w:val="21"/>
          <w:szCs w:val="21"/>
        </w:rPr>
        <w:t>、</w:t>
      </w:r>
      <w:r>
        <w:rPr>
          <w:rFonts w:ascii="Times New Roman" w:hAnsi="Times New Roman"/>
          <w:kern w:val="21"/>
          <w:sz w:val="21"/>
          <w:szCs w:val="21"/>
        </w:rPr>
        <w:t>林树花、潘兆平、</w:t>
      </w:r>
      <w:r>
        <w:rPr>
          <w:rFonts w:ascii="Times New Roman" w:hAnsi="Times New Roman" w:hint="default"/>
          <w:kern w:val="21"/>
          <w:sz w:val="21"/>
          <w:szCs w:val="21"/>
        </w:rPr>
        <w:t>李敏利、</w:t>
      </w:r>
      <w:r>
        <w:rPr>
          <w:rFonts w:ascii="Times New Roman" w:hAnsi="Times New Roman"/>
          <w:kern w:val="21"/>
          <w:sz w:val="21"/>
          <w:szCs w:val="21"/>
        </w:rPr>
        <w:t>肖轲、刘阳、韩晓磊、蒋成、</w:t>
      </w:r>
      <w:bookmarkStart w:id="0" w:name="_GoBack"/>
      <w:bookmarkEnd w:id="0"/>
      <w:r>
        <w:rPr>
          <w:rFonts w:ascii="Times New Roman" w:hAnsi="Times New Roman"/>
          <w:kern w:val="21"/>
          <w:sz w:val="21"/>
          <w:szCs w:val="21"/>
        </w:rPr>
        <w:t>段传胜</w:t>
      </w:r>
      <w:r>
        <w:rPr>
          <w:rFonts w:ascii="Times New Roman" w:hAnsi="Times New Roman" w:hint="default"/>
          <w:kern w:val="21"/>
          <w:sz w:val="21"/>
          <w:szCs w:val="21"/>
        </w:rPr>
        <w:t>。</w:t>
      </w:r>
    </w:p>
    <w:p w:rsidR="00BF4EFC" w:rsidRDefault="00BF4EFC">
      <w:pPr>
        <w:pStyle w:val="HTML"/>
        <w:widowControl/>
        <w:shd w:val="clear" w:color="auto" w:fill="FFFFFF"/>
        <w:adjustRightInd w:val="0"/>
        <w:snapToGrid w:val="0"/>
        <w:spacing w:line="360" w:lineRule="auto"/>
        <w:ind w:firstLineChars="300" w:firstLine="720"/>
        <w:rPr>
          <w:rFonts w:ascii="Times New Roman" w:hAnsi="Times New Roman" w:hint="default"/>
          <w:kern w:val="21"/>
        </w:rPr>
        <w:sectPr w:rsidR="00BF4EFC">
          <w:pgSz w:w="11906" w:h="16838"/>
          <w:pgMar w:top="1440" w:right="1800" w:bottom="1440" w:left="1800" w:header="851" w:footer="992" w:gutter="0"/>
          <w:cols w:space="0"/>
          <w:docGrid w:linePitch="312"/>
        </w:sectPr>
      </w:pPr>
    </w:p>
    <w:p w:rsidR="00BF4EFC" w:rsidRDefault="00A94BE9">
      <w:pPr>
        <w:adjustRightInd w:val="0"/>
        <w:snapToGrid w:val="0"/>
        <w:spacing w:line="360" w:lineRule="auto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绿色食品预</w:t>
      </w:r>
      <w:proofErr w:type="gramStart"/>
      <w:r>
        <w:rPr>
          <w:rFonts w:eastAsia="黑体"/>
          <w:sz w:val="32"/>
          <w:szCs w:val="32"/>
        </w:rPr>
        <w:t>榨</w:t>
      </w:r>
      <w:proofErr w:type="gramEnd"/>
      <w:r>
        <w:rPr>
          <w:rFonts w:eastAsia="黑体"/>
          <w:sz w:val="32"/>
          <w:szCs w:val="32"/>
        </w:rPr>
        <w:t>浸出</w:t>
      </w:r>
      <w:proofErr w:type="gramStart"/>
      <w:r>
        <w:rPr>
          <w:rFonts w:eastAsia="黑体"/>
          <w:sz w:val="32"/>
          <w:szCs w:val="32"/>
        </w:rPr>
        <w:t>菜籽油</w:t>
      </w:r>
      <w:proofErr w:type="gramEnd"/>
      <w:r>
        <w:rPr>
          <w:rFonts w:eastAsia="黑体"/>
          <w:sz w:val="32"/>
          <w:szCs w:val="32"/>
        </w:rPr>
        <w:t>生产操作规</w:t>
      </w:r>
      <w:r>
        <w:rPr>
          <w:rFonts w:eastAsia="黑体" w:hint="eastAsia"/>
          <w:sz w:val="32"/>
          <w:szCs w:val="32"/>
        </w:rPr>
        <w:t>程</w:t>
      </w:r>
    </w:p>
    <w:p w:rsidR="00BF4EFC" w:rsidRDefault="00BF4EFC">
      <w:pPr>
        <w:pStyle w:val="1"/>
        <w:kinsoku w:val="0"/>
        <w:overflowPunct w:val="0"/>
        <w:adjustRightInd w:val="0"/>
        <w:snapToGrid w:val="0"/>
        <w:spacing w:line="360" w:lineRule="auto"/>
        <w:ind w:firstLineChars="0" w:firstLine="0"/>
        <w:contextualSpacing/>
        <w:rPr>
          <w:rFonts w:eastAsia="黑体"/>
        </w:rPr>
      </w:pPr>
    </w:p>
    <w:p w:rsidR="00BF4EFC" w:rsidRDefault="00A94BE9" w:rsidP="00091C3B">
      <w:pPr>
        <w:pStyle w:val="1"/>
        <w:kinsoku w:val="0"/>
        <w:overflowPunct w:val="0"/>
        <w:adjustRightInd w:val="0"/>
        <w:snapToGrid w:val="0"/>
        <w:spacing w:line="360" w:lineRule="auto"/>
        <w:ind w:firstLineChars="0" w:firstLine="0"/>
        <w:contextualSpacing/>
        <w:outlineLvl w:val="0"/>
        <w:rPr>
          <w:rFonts w:eastAsia="黑体"/>
        </w:rPr>
      </w:pPr>
      <w:r>
        <w:rPr>
          <w:rFonts w:eastAsia="黑体"/>
        </w:rPr>
        <w:t>1</w:t>
      </w:r>
      <w:r>
        <w:rPr>
          <w:rFonts w:eastAsia="黑体" w:hint="eastAsia"/>
        </w:rPr>
        <w:t xml:space="preserve">  </w:t>
      </w:r>
      <w:r>
        <w:rPr>
          <w:rFonts w:eastAsia="黑体"/>
        </w:rPr>
        <w:t>范围</w:t>
      </w:r>
    </w:p>
    <w:p w:rsidR="00BF4EFC" w:rsidRDefault="00A94BE9">
      <w:pPr>
        <w:adjustRightInd w:val="0"/>
        <w:snapToGrid w:val="0"/>
        <w:spacing w:line="360" w:lineRule="auto"/>
        <w:ind w:firstLine="480"/>
        <w:rPr>
          <w:szCs w:val="21"/>
        </w:rPr>
      </w:pPr>
      <w:r>
        <w:rPr>
          <w:szCs w:val="21"/>
        </w:rPr>
        <w:t>本规程规定了绿色食品预</w:t>
      </w:r>
      <w:proofErr w:type="gramStart"/>
      <w:r>
        <w:rPr>
          <w:szCs w:val="21"/>
        </w:rPr>
        <w:t>榨</w:t>
      </w:r>
      <w:proofErr w:type="gramEnd"/>
      <w:r>
        <w:rPr>
          <w:szCs w:val="21"/>
        </w:rPr>
        <w:t>浸出</w:t>
      </w:r>
      <w:proofErr w:type="gramStart"/>
      <w:r>
        <w:rPr>
          <w:szCs w:val="21"/>
        </w:rPr>
        <w:t>菜籽油</w:t>
      </w:r>
      <w:proofErr w:type="gramEnd"/>
      <w:r>
        <w:rPr>
          <w:rFonts w:hint="eastAsia"/>
          <w:szCs w:val="21"/>
        </w:rPr>
        <w:t>生产中</w:t>
      </w:r>
      <w:r>
        <w:rPr>
          <w:szCs w:val="21"/>
        </w:rPr>
        <w:t>的生产过程要求、原料</w:t>
      </w:r>
      <w:r>
        <w:rPr>
          <w:rFonts w:hint="eastAsia"/>
          <w:szCs w:val="21"/>
        </w:rPr>
        <w:t>要求、加工工艺流程、操作要点、包装、运输与贮存、平行生产管理、生产废弃物处理、生产记录档案</w:t>
      </w:r>
      <w:r>
        <w:rPr>
          <w:szCs w:val="21"/>
        </w:rPr>
        <w:t>等方面内容。</w:t>
      </w:r>
      <w:r>
        <w:rPr>
          <w:szCs w:val="21"/>
        </w:rPr>
        <w:t xml:space="preserve"> </w:t>
      </w:r>
    </w:p>
    <w:p w:rsidR="00BF4EFC" w:rsidRDefault="00A94BE9">
      <w:pPr>
        <w:adjustRightInd w:val="0"/>
        <w:snapToGrid w:val="0"/>
        <w:spacing w:line="360" w:lineRule="auto"/>
        <w:ind w:firstLine="480"/>
        <w:rPr>
          <w:szCs w:val="21"/>
        </w:rPr>
      </w:pPr>
      <w:r>
        <w:rPr>
          <w:szCs w:val="21"/>
        </w:rPr>
        <w:t>本规程适用于绿色食品预</w:t>
      </w:r>
      <w:proofErr w:type="gramStart"/>
      <w:r>
        <w:rPr>
          <w:szCs w:val="21"/>
        </w:rPr>
        <w:t>榨</w:t>
      </w:r>
      <w:proofErr w:type="gramEnd"/>
      <w:r>
        <w:rPr>
          <w:szCs w:val="21"/>
        </w:rPr>
        <w:t>浸出</w:t>
      </w:r>
      <w:proofErr w:type="gramStart"/>
      <w:r>
        <w:rPr>
          <w:szCs w:val="21"/>
        </w:rPr>
        <w:t>菜籽油</w:t>
      </w:r>
      <w:proofErr w:type="gramEnd"/>
      <w:r>
        <w:rPr>
          <w:rFonts w:hint="eastAsia"/>
          <w:szCs w:val="21"/>
        </w:rPr>
        <w:t>的</w:t>
      </w:r>
      <w:r>
        <w:rPr>
          <w:szCs w:val="21"/>
        </w:rPr>
        <w:t>生产</w:t>
      </w:r>
      <w:r>
        <w:rPr>
          <w:rFonts w:hint="eastAsia"/>
          <w:szCs w:val="21"/>
        </w:rPr>
        <w:t>加工</w:t>
      </w:r>
      <w:r>
        <w:rPr>
          <w:szCs w:val="21"/>
        </w:rPr>
        <w:t>。</w:t>
      </w:r>
    </w:p>
    <w:p w:rsidR="00BF4EFC" w:rsidRDefault="00A94BE9" w:rsidP="00091C3B">
      <w:pPr>
        <w:pStyle w:val="1"/>
        <w:kinsoku w:val="0"/>
        <w:overflowPunct w:val="0"/>
        <w:adjustRightInd w:val="0"/>
        <w:snapToGrid w:val="0"/>
        <w:spacing w:line="360" w:lineRule="auto"/>
        <w:ind w:firstLineChars="0" w:firstLine="0"/>
        <w:contextualSpacing/>
        <w:outlineLvl w:val="0"/>
        <w:rPr>
          <w:rFonts w:eastAsia="黑体"/>
        </w:rPr>
      </w:pPr>
      <w:r>
        <w:rPr>
          <w:rFonts w:eastAsia="黑体"/>
        </w:rPr>
        <w:t>2</w:t>
      </w:r>
      <w:r>
        <w:rPr>
          <w:rFonts w:eastAsia="黑体" w:hint="eastAsia"/>
        </w:rPr>
        <w:t xml:space="preserve">  </w:t>
      </w:r>
      <w:r>
        <w:rPr>
          <w:rFonts w:eastAsia="黑体"/>
        </w:rPr>
        <w:t>规范性引用文件</w:t>
      </w:r>
    </w:p>
    <w:p w:rsidR="00BF4EFC" w:rsidRDefault="00A94BE9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下列文件对于本文件的应用是必不可少的。凡是注日期的引用文件，仅注日期的版本适用于本文件。凡是不注日期的引用文件，</w:t>
      </w:r>
      <w:r>
        <w:rPr>
          <w:kern w:val="21"/>
          <w:szCs w:val="21"/>
        </w:rPr>
        <w:t>其最新版本（包括所有的修改单）适用于本文件。</w:t>
      </w:r>
    </w:p>
    <w:p w:rsidR="00BF4EFC" w:rsidRDefault="00A94BE9">
      <w:pPr>
        <w:kinsoku w:val="0"/>
        <w:overflowPunct w:val="0"/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 xml:space="preserve">GB 1886.52  </w:t>
      </w:r>
      <w:r>
        <w:rPr>
          <w:szCs w:val="21"/>
        </w:rPr>
        <w:t>食品安全国家标准</w:t>
      </w:r>
      <w:r>
        <w:rPr>
          <w:szCs w:val="21"/>
        </w:rPr>
        <w:t xml:space="preserve"> </w:t>
      </w:r>
      <w:r>
        <w:rPr>
          <w:szCs w:val="21"/>
        </w:rPr>
        <w:t>食品添加剂</w:t>
      </w:r>
      <w:r>
        <w:rPr>
          <w:szCs w:val="21"/>
        </w:rPr>
        <w:t xml:space="preserve"> </w:t>
      </w:r>
      <w:r>
        <w:rPr>
          <w:szCs w:val="21"/>
        </w:rPr>
        <w:t>植物油抽提溶剂（又名己烷类溶剂）</w:t>
      </w:r>
    </w:p>
    <w:p w:rsidR="00BF4EFC" w:rsidRDefault="00A94BE9">
      <w:pPr>
        <w:kinsoku w:val="0"/>
        <w:overflowPunct w:val="0"/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 xml:space="preserve">GB 2716-2005 </w:t>
      </w:r>
      <w:r>
        <w:rPr>
          <w:szCs w:val="21"/>
        </w:rPr>
        <w:t>食用植物油卫生标准</w:t>
      </w:r>
    </w:p>
    <w:p w:rsidR="00BF4EFC" w:rsidRDefault="00A94BE9">
      <w:pPr>
        <w:kinsoku w:val="0"/>
        <w:overflowPunct w:val="0"/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 xml:space="preserve">GB 8955 </w:t>
      </w:r>
      <w:r>
        <w:rPr>
          <w:szCs w:val="21"/>
        </w:rPr>
        <w:t>食品安全国家标准</w:t>
      </w:r>
      <w:r>
        <w:rPr>
          <w:szCs w:val="21"/>
        </w:rPr>
        <w:t xml:space="preserve"> </w:t>
      </w:r>
      <w:r>
        <w:rPr>
          <w:szCs w:val="21"/>
        </w:rPr>
        <w:t>食用植物油及其制品生产卫生规范</w:t>
      </w:r>
    </w:p>
    <w:p w:rsidR="00BF4EFC" w:rsidRDefault="00A94BE9">
      <w:pPr>
        <w:kinsoku w:val="0"/>
        <w:overflowPunct w:val="0"/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GB 14880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食品安全国家标准</w:t>
      </w:r>
      <w:r>
        <w:rPr>
          <w:szCs w:val="21"/>
        </w:rPr>
        <w:t xml:space="preserve"> </w:t>
      </w:r>
      <w:r>
        <w:rPr>
          <w:szCs w:val="21"/>
        </w:rPr>
        <w:t>食品营养强化剂使用标准</w:t>
      </w:r>
    </w:p>
    <w:p w:rsidR="00BF4EFC" w:rsidRDefault="00A94BE9">
      <w:pPr>
        <w:kinsoku w:val="0"/>
        <w:overflowPunct w:val="0"/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 xml:space="preserve">GB 14881 </w:t>
      </w:r>
      <w:r>
        <w:rPr>
          <w:szCs w:val="21"/>
        </w:rPr>
        <w:t>食品安全国家标准</w:t>
      </w:r>
      <w:r>
        <w:rPr>
          <w:szCs w:val="21"/>
        </w:rPr>
        <w:t xml:space="preserve"> </w:t>
      </w:r>
      <w:r>
        <w:rPr>
          <w:szCs w:val="21"/>
        </w:rPr>
        <w:t>食品生产通用卫生规范</w:t>
      </w:r>
    </w:p>
    <w:p w:rsidR="00BF4EFC" w:rsidRDefault="00A94BE9">
      <w:pPr>
        <w:kinsoku w:val="0"/>
        <w:overflowPunct w:val="0"/>
        <w:adjustRightInd w:val="0"/>
        <w:snapToGrid w:val="0"/>
        <w:spacing w:line="360" w:lineRule="auto"/>
        <w:ind w:firstLineChars="200" w:firstLine="420"/>
        <w:rPr>
          <w:kern w:val="21"/>
          <w:szCs w:val="21"/>
        </w:rPr>
      </w:pPr>
      <w:r>
        <w:rPr>
          <w:kern w:val="21"/>
          <w:szCs w:val="21"/>
        </w:rPr>
        <w:t>GB/T 17374</w:t>
      </w:r>
      <w:r>
        <w:rPr>
          <w:kern w:val="21"/>
          <w:szCs w:val="21"/>
        </w:rPr>
        <w:t>食用植物油销售包装</w:t>
      </w:r>
    </w:p>
    <w:p w:rsidR="00BF4EFC" w:rsidRDefault="00A94BE9">
      <w:pPr>
        <w:kinsoku w:val="0"/>
        <w:overflowPunct w:val="0"/>
        <w:adjustRightInd w:val="0"/>
        <w:snapToGrid w:val="0"/>
        <w:spacing w:line="360" w:lineRule="auto"/>
        <w:ind w:firstLineChars="200" w:firstLine="420"/>
        <w:rPr>
          <w:kern w:val="21"/>
          <w:szCs w:val="21"/>
        </w:rPr>
      </w:pPr>
      <w:r>
        <w:rPr>
          <w:kern w:val="21"/>
          <w:szCs w:val="21"/>
        </w:rPr>
        <w:t xml:space="preserve">GB 31621 </w:t>
      </w:r>
      <w:r>
        <w:rPr>
          <w:kern w:val="21"/>
          <w:szCs w:val="21"/>
        </w:rPr>
        <w:t>食品安全国家标准</w:t>
      </w:r>
      <w:r>
        <w:rPr>
          <w:kern w:val="21"/>
          <w:szCs w:val="21"/>
        </w:rPr>
        <w:t xml:space="preserve"> </w:t>
      </w:r>
      <w:r>
        <w:rPr>
          <w:kern w:val="21"/>
          <w:szCs w:val="21"/>
        </w:rPr>
        <w:t>食品经营过程卫生规范</w:t>
      </w:r>
    </w:p>
    <w:p w:rsidR="00BF4EFC" w:rsidRDefault="00A94BE9">
      <w:pPr>
        <w:kinsoku w:val="0"/>
        <w:overflowPunct w:val="0"/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 xml:space="preserve">NY/T 391 </w:t>
      </w:r>
      <w:r>
        <w:rPr>
          <w:szCs w:val="21"/>
        </w:rPr>
        <w:t>绿色食品</w:t>
      </w:r>
      <w:r>
        <w:rPr>
          <w:szCs w:val="21"/>
        </w:rPr>
        <w:t xml:space="preserve"> </w:t>
      </w:r>
      <w:r>
        <w:rPr>
          <w:szCs w:val="21"/>
        </w:rPr>
        <w:t>产地环境质量</w:t>
      </w:r>
    </w:p>
    <w:p w:rsidR="00BF4EFC" w:rsidRDefault="00A94BE9">
      <w:pPr>
        <w:kinsoku w:val="0"/>
        <w:overflowPunct w:val="0"/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 xml:space="preserve">NY/T 392 </w:t>
      </w:r>
      <w:r>
        <w:rPr>
          <w:szCs w:val="21"/>
        </w:rPr>
        <w:t>绿色食品</w:t>
      </w:r>
      <w:r>
        <w:rPr>
          <w:szCs w:val="21"/>
        </w:rPr>
        <w:t xml:space="preserve"> </w:t>
      </w:r>
      <w:r>
        <w:rPr>
          <w:szCs w:val="21"/>
        </w:rPr>
        <w:t>食品添加剂使用准则</w:t>
      </w:r>
    </w:p>
    <w:p w:rsidR="00BF4EFC" w:rsidRDefault="00A94BE9">
      <w:pPr>
        <w:kinsoku w:val="0"/>
        <w:overflowPunct w:val="0"/>
        <w:adjustRightInd w:val="0"/>
        <w:snapToGrid w:val="0"/>
        <w:spacing w:line="360" w:lineRule="auto"/>
        <w:ind w:firstLineChars="200" w:firstLine="420"/>
        <w:rPr>
          <w:kern w:val="21"/>
          <w:szCs w:val="21"/>
        </w:rPr>
      </w:pPr>
      <w:r>
        <w:rPr>
          <w:kern w:val="21"/>
          <w:szCs w:val="21"/>
        </w:rPr>
        <w:t xml:space="preserve">NY/T 658 </w:t>
      </w:r>
      <w:r>
        <w:rPr>
          <w:kern w:val="21"/>
          <w:szCs w:val="21"/>
        </w:rPr>
        <w:t>绿色食品</w:t>
      </w:r>
      <w:r>
        <w:rPr>
          <w:kern w:val="21"/>
          <w:szCs w:val="21"/>
        </w:rPr>
        <w:t xml:space="preserve"> </w:t>
      </w:r>
      <w:r>
        <w:rPr>
          <w:kern w:val="21"/>
          <w:szCs w:val="21"/>
        </w:rPr>
        <w:t>包装通用准则</w:t>
      </w:r>
    </w:p>
    <w:p w:rsidR="00BF4EFC" w:rsidRDefault="00A94BE9">
      <w:pPr>
        <w:kinsoku w:val="0"/>
        <w:overflowPunct w:val="0"/>
        <w:adjustRightInd w:val="0"/>
        <w:snapToGrid w:val="0"/>
        <w:spacing w:line="360" w:lineRule="auto"/>
        <w:ind w:firstLineChars="200" w:firstLine="420"/>
        <w:rPr>
          <w:kern w:val="21"/>
          <w:szCs w:val="21"/>
        </w:rPr>
      </w:pPr>
      <w:r>
        <w:rPr>
          <w:kern w:val="21"/>
          <w:szCs w:val="21"/>
        </w:rPr>
        <w:t xml:space="preserve">NY/T 751 </w:t>
      </w:r>
      <w:r>
        <w:rPr>
          <w:kern w:val="21"/>
          <w:szCs w:val="21"/>
        </w:rPr>
        <w:t>绿色食品</w:t>
      </w:r>
      <w:r>
        <w:rPr>
          <w:kern w:val="21"/>
          <w:szCs w:val="21"/>
        </w:rPr>
        <w:t xml:space="preserve"> </w:t>
      </w:r>
      <w:r>
        <w:rPr>
          <w:kern w:val="21"/>
          <w:szCs w:val="21"/>
        </w:rPr>
        <w:t>食用植物油</w:t>
      </w:r>
    </w:p>
    <w:p w:rsidR="00BF4EFC" w:rsidRDefault="00A94BE9">
      <w:pPr>
        <w:kinsoku w:val="0"/>
        <w:overflowPunct w:val="0"/>
        <w:adjustRightInd w:val="0"/>
        <w:snapToGrid w:val="0"/>
        <w:spacing w:line="360" w:lineRule="auto"/>
        <w:ind w:firstLineChars="200" w:firstLine="420"/>
        <w:rPr>
          <w:kern w:val="21"/>
          <w:szCs w:val="21"/>
        </w:rPr>
      </w:pPr>
      <w:r>
        <w:rPr>
          <w:kern w:val="21"/>
          <w:szCs w:val="21"/>
        </w:rPr>
        <w:t xml:space="preserve">NY/T 1056 </w:t>
      </w:r>
      <w:r>
        <w:rPr>
          <w:kern w:val="21"/>
          <w:szCs w:val="21"/>
        </w:rPr>
        <w:t>绿色食品</w:t>
      </w:r>
      <w:r>
        <w:rPr>
          <w:kern w:val="21"/>
          <w:szCs w:val="21"/>
        </w:rPr>
        <w:t xml:space="preserve"> </w:t>
      </w:r>
      <w:r>
        <w:rPr>
          <w:kern w:val="21"/>
          <w:szCs w:val="21"/>
        </w:rPr>
        <w:t>贮藏运输准则</w:t>
      </w:r>
    </w:p>
    <w:p w:rsidR="00BF4EFC" w:rsidRDefault="00A94BE9">
      <w:pPr>
        <w:kinsoku w:val="0"/>
        <w:overflowPunct w:val="0"/>
        <w:adjustRightInd w:val="0"/>
        <w:snapToGrid w:val="0"/>
        <w:spacing w:line="360" w:lineRule="auto"/>
        <w:ind w:firstLineChars="200" w:firstLine="420"/>
        <w:rPr>
          <w:kern w:val="21"/>
          <w:szCs w:val="21"/>
        </w:rPr>
      </w:pPr>
      <w:r>
        <w:rPr>
          <w:kern w:val="21"/>
          <w:szCs w:val="21"/>
        </w:rPr>
        <w:t>NY/T 2982</w:t>
      </w:r>
      <w:r>
        <w:rPr>
          <w:kern w:val="21"/>
          <w:szCs w:val="21"/>
        </w:rPr>
        <w:t>绿色食品</w:t>
      </w:r>
      <w:r>
        <w:rPr>
          <w:kern w:val="21"/>
          <w:szCs w:val="21"/>
        </w:rPr>
        <w:t xml:space="preserve"> </w:t>
      </w:r>
      <w:r>
        <w:rPr>
          <w:kern w:val="21"/>
          <w:szCs w:val="21"/>
        </w:rPr>
        <w:t>油菜籽</w:t>
      </w:r>
    </w:p>
    <w:p w:rsidR="00BF4EFC" w:rsidRDefault="00A94BE9" w:rsidP="00091C3B">
      <w:pPr>
        <w:pStyle w:val="1"/>
        <w:kinsoku w:val="0"/>
        <w:overflowPunct w:val="0"/>
        <w:adjustRightInd w:val="0"/>
        <w:snapToGrid w:val="0"/>
        <w:spacing w:line="360" w:lineRule="auto"/>
        <w:ind w:firstLineChars="0" w:firstLine="0"/>
        <w:contextualSpacing/>
        <w:outlineLvl w:val="0"/>
        <w:rPr>
          <w:rFonts w:eastAsia="黑体"/>
        </w:rPr>
      </w:pPr>
      <w:r>
        <w:rPr>
          <w:rFonts w:eastAsia="黑体"/>
        </w:rPr>
        <w:t>3</w:t>
      </w:r>
      <w:r>
        <w:rPr>
          <w:rFonts w:eastAsia="黑体" w:hint="eastAsia"/>
        </w:rPr>
        <w:t xml:space="preserve">  </w:t>
      </w:r>
      <w:r>
        <w:rPr>
          <w:rFonts w:eastAsia="黑体"/>
        </w:rPr>
        <w:t>术语和定义</w:t>
      </w:r>
      <w:r>
        <w:rPr>
          <w:rFonts w:eastAsia="黑体"/>
        </w:rPr>
        <w:t xml:space="preserve"> </w:t>
      </w:r>
    </w:p>
    <w:p w:rsidR="00BF4EFC" w:rsidRDefault="00A94BE9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下列术语和定义适用于本</w:t>
      </w:r>
      <w:r>
        <w:rPr>
          <w:rFonts w:hint="eastAsia"/>
          <w:szCs w:val="21"/>
        </w:rPr>
        <w:t>文件</w:t>
      </w:r>
      <w:r>
        <w:rPr>
          <w:szCs w:val="21"/>
        </w:rPr>
        <w:t>。</w:t>
      </w:r>
    </w:p>
    <w:p w:rsidR="00BF4EFC" w:rsidRDefault="00A94BE9">
      <w:pPr>
        <w:adjustRightInd w:val="0"/>
        <w:snapToGrid w:val="0"/>
        <w:spacing w:line="360" w:lineRule="auto"/>
        <w:rPr>
          <w:rFonts w:eastAsia="黑体"/>
        </w:rPr>
      </w:pPr>
      <w:r>
        <w:rPr>
          <w:rFonts w:eastAsia="黑体"/>
        </w:rPr>
        <w:t xml:space="preserve">3.1 </w:t>
      </w:r>
    </w:p>
    <w:p w:rsidR="00BF4EFC" w:rsidRDefault="00A94BE9">
      <w:pPr>
        <w:adjustRightInd w:val="0"/>
        <w:snapToGrid w:val="0"/>
        <w:spacing w:line="360" w:lineRule="auto"/>
        <w:ind w:firstLineChars="200" w:firstLine="420"/>
        <w:rPr>
          <w:rFonts w:eastAsia="黑体"/>
        </w:rPr>
      </w:pPr>
      <w:r>
        <w:rPr>
          <w:rFonts w:eastAsia="黑体" w:hint="eastAsia"/>
        </w:rPr>
        <w:t>预</w:t>
      </w:r>
      <w:proofErr w:type="gramStart"/>
      <w:r>
        <w:rPr>
          <w:rFonts w:eastAsia="黑体" w:hint="eastAsia"/>
        </w:rPr>
        <w:t>榨</w:t>
      </w:r>
      <w:proofErr w:type="gramEnd"/>
      <w:r>
        <w:rPr>
          <w:rFonts w:eastAsia="黑体" w:hint="eastAsia"/>
        </w:rPr>
        <w:t>浸出</w:t>
      </w:r>
      <w:proofErr w:type="gramStart"/>
      <w:r>
        <w:rPr>
          <w:rFonts w:eastAsia="黑体" w:hint="eastAsia"/>
        </w:rPr>
        <w:t>菜籽油</w:t>
      </w:r>
      <w:proofErr w:type="gramEnd"/>
    </w:p>
    <w:p w:rsidR="00BF4EFC" w:rsidRDefault="00A94BE9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油</w:t>
      </w:r>
      <w:r>
        <w:rPr>
          <w:szCs w:val="21"/>
        </w:rPr>
        <w:t>菜籽经过清理、轧坯、蒸炒等预处理后，在</w:t>
      </w:r>
      <w:r>
        <w:rPr>
          <w:rFonts w:hint="eastAsia"/>
          <w:szCs w:val="21"/>
        </w:rPr>
        <w:t>一定</w:t>
      </w:r>
      <w:r>
        <w:rPr>
          <w:szCs w:val="21"/>
        </w:rPr>
        <w:t>温度下进行压榨，把</w:t>
      </w:r>
      <w:r>
        <w:rPr>
          <w:rFonts w:hint="eastAsia"/>
          <w:szCs w:val="21"/>
        </w:rPr>
        <w:t>油</w:t>
      </w:r>
      <w:r>
        <w:rPr>
          <w:szCs w:val="21"/>
        </w:rPr>
        <w:t>菜籽压缩成饼片。</w:t>
      </w:r>
      <w:r>
        <w:rPr>
          <w:rFonts w:hint="eastAsia"/>
          <w:szCs w:val="21"/>
        </w:rPr>
        <w:t>再将</w:t>
      </w:r>
      <w:r>
        <w:rPr>
          <w:szCs w:val="21"/>
        </w:rPr>
        <w:t>上述饼片用六号溶剂提取大部分残留油，</w:t>
      </w:r>
      <w:r>
        <w:rPr>
          <w:rFonts w:hint="eastAsia"/>
          <w:szCs w:val="21"/>
        </w:rPr>
        <w:t>然后去除</w:t>
      </w:r>
      <w:r>
        <w:rPr>
          <w:szCs w:val="21"/>
        </w:rPr>
        <w:t>溶剂。</w:t>
      </w:r>
      <w:r>
        <w:rPr>
          <w:rFonts w:hint="eastAsia"/>
          <w:szCs w:val="21"/>
        </w:rPr>
        <w:t>上述菜籽毛油再经精炼过程而得到的</w:t>
      </w:r>
      <w:r>
        <w:rPr>
          <w:rFonts w:ascii="宋体" w:hAnsi="宋体" w:hint="eastAsia"/>
          <w:szCs w:val="21"/>
        </w:rPr>
        <w:t>保留了油菜籽原有的气味、滋味和营养物质的可食用</w:t>
      </w:r>
      <w:r>
        <w:rPr>
          <w:rFonts w:hint="eastAsia"/>
          <w:szCs w:val="21"/>
        </w:rPr>
        <w:t>油。</w:t>
      </w:r>
    </w:p>
    <w:p w:rsidR="00BF4EFC" w:rsidRDefault="00A94BE9">
      <w:pPr>
        <w:adjustRightInd w:val="0"/>
        <w:snapToGrid w:val="0"/>
        <w:spacing w:line="360" w:lineRule="auto"/>
        <w:rPr>
          <w:rFonts w:eastAsia="黑体"/>
        </w:rPr>
      </w:pPr>
      <w:r>
        <w:rPr>
          <w:rFonts w:eastAsia="黑体"/>
        </w:rPr>
        <w:t xml:space="preserve">3.2 </w:t>
      </w:r>
    </w:p>
    <w:p w:rsidR="00BF4EFC" w:rsidRDefault="00A94BE9">
      <w:pPr>
        <w:adjustRightInd w:val="0"/>
        <w:snapToGrid w:val="0"/>
        <w:spacing w:line="360" w:lineRule="auto"/>
        <w:ind w:firstLineChars="200" w:firstLine="420"/>
        <w:rPr>
          <w:rFonts w:eastAsia="黑体"/>
          <w:bCs/>
        </w:rPr>
      </w:pPr>
      <w:r>
        <w:rPr>
          <w:rFonts w:eastAsia="黑体"/>
          <w:bCs/>
        </w:rPr>
        <w:t>绿色食品</w:t>
      </w:r>
      <w:proofErr w:type="gramStart"/>
      <w:r>
        <w:rPr>
          <w:rFonts w:eastAsia="黑体" w:hint="eastAsia"/>
          <w:bCs/>
        </w:rPr>
        <w:t>菜籽油</w:t>
      </w:r>
      <w:proofErr w:type="gramEnd"/>
    </w:p>
    <w:p w:rsidR="00BF4EFC" w:rsidRDefault="00A94BE9">
      <w:pPr>
        <w:adjustRightInd w:val="0"/>
        <w:snapToGrid w:val="0"/>
        <w:spacing w:line="360" w:lineRule="auto"/>
        <w:ind w:firstLineChars="200" w:firstLine="420"/>
        <w:rPr>
          <w:rFonts w:ascii="黑体" w:eastAsia="黑体"/>
          <w:kern w:val="21"/>
          <w:szCs w:val="21"/>
        </w:rPr>
      </w:pPr>
      <w:r>
        <w:rPr>
          <w:rFonts w:ascii="宋体" w:hAnsi="宋体" w:hint="eastAsia"/>
          <w:szCs w:val="21"/>
        </w:rPr>
        <w:t>以物理压榨方法生产或</w:t>
      </w:r>
      <w:r>
        <w:t>浸出工艺制取</w:t>
      </w:r>
      <w:r>
        <w:rPr>
          <w:rFonts w:hint="eastAsia"/>
        </w:rPr>
        <w:t>再经精炼过程并</w:t>
      </w:r>
      <w:r>
        <w:rPr>
          <w:rFonts w:ascii="宋体" w:hAnsi="宋体" w:hint="eastAsia"/>
          <w:szCs w:val="21"/>
        </w:rPr>
        <w:t>获得绿色食品标志的</w:t>
      </w:r>
      <w:proofErr w:type="gramStart"/>
      <w:r>
        <w:rPr>
          <w:rFonts w:ascii="宋体" w:hAnsi="宋体" w:hint="eastAsia"/>
          <w:szCs w:val="21"/>
        </w:rPr>
        <w:t>菜籽油</w:t>
      </w:r>
      <w:proofErr w:type="gramEnd"/>
      <w:r>
        <w:rPr>
          <w:rFonts w:ascii="宋体" w:hAnsi="宋体" w:hint="eastAsia"/>
          <w:szCs w:val="21"/>
        </w:rPr>
        <w:t>。</w:t>
      </w:r>
    </w:p>
    <w:p w:rsidR="00BF4EFC" w:rsidRDefault="00A94BE9" w:rsidP="00091C3B">
      <w:pPr>
        <w:pStyle w:val="1"/>
        <w:kinsoku w:val="0"/>
        <w:overflowPunct w:val="0"/>
        <w:adjustRightInd w:val="0"/>
        <w:snapToGrid w:val="0"/>
        <w:spacing w:line="360" w:lineRule="auto"/>
        <w:ind w:firstLineChars="0" w:firstLine="0"/>
        <w:contextualSpacing/>
        <w:outlineLvl w:val="0"/>
        <w:rPr>
          <w:rFonts w:eastAsia="黑体"/>
        </w:rPr>
      </w:pPr>
      <w:r>
        <w:rPr>
          <w:rFonts w:eastAsia="黑体"/>
        </w:rPr>
        <w:t>4</w:t>
      </w:r>
      <w:r>
        <w:rPr>
          <w:rFonts w:eastAsia="黑体" w:hint="eastAsia"/>
        </w:rPr>
        <w:t xml:space="preserve">  </w:t>
      </w:r>
      <w:r>
        <w:rPr>
          <w:rFonts w:eastAsia="黑体"/>
        </w:rPr>
        <w:t>生产过程要求</w:t>
      </w:r>
      <w:r>
        <w:rPr>
          <w:rFonts w:eastAsia="黑体"/>
        </w:rPr>
        <w:t xml:space="preserve"> </w:t>
      </w:r>
    </w:p>
    <w:p w:rsidR="00BF4EFC" w:rsidRDefault="00A94BE9">
      <w:pPr>
        <w:adjustRightInd w:val="0"/>
        <w:snapToGrid w:val="0"/>
        <w:spacing w:line="360" w:lineRule="auto"/>
        <w:rPr>
          <w:rFonts w:ascii="宋体" w:hAnsi="宋体" w:cs="宋体"/>
          <w:kern w:val="21"/>
          <w:szCs w:val="21"/>
        </w:rPr>
      </w:pPr>
      <w:r>
        <w:rPr>
          <w:kern w:val="21"/>
          <w:szCs w:val="21"/>
        </w:rPr>
        <w:t>4.1</w:t>
      </w:r>
      <w:r>
        <w:rPr>
          <w:rFonts w:ascii="宋体" w:hAnsi="宋体" w:cs="宋体" w:hint="eastAsia"/>
          <w:kern w:val="21"/>
          <w:szCs w:val="21"/>
        </w:rPr>
        <w:t xml:space="preserve">  绿色食品</w:t>
      </w:r>
      <w:proofErr w:type="gramStart"/>
      <w:r>
        <w:rPr>
          <w:rFonts w:ascii="宋体" w:hAnsi="宋体" w:cs="宋体" w:hint="eastAsia"/>
          <w:kern w:val="21"/>
          <w:szCs w:val="21"/>
        </w:rPr>
        <w:t>菜籽油</w:t>
      </w:r>
      <w:proofErr w:type="gramEnd"/>
      <w:r>
        <w:rPr>
          <w:rFonts w:ascii="宋体" w:hAnsi="宋体" w:cs="宋体" w:hint="eastAsia"/>
          <w:kern w:val="21"/>
          <w:szCs w:val="21"/>
        </w:rPr>
        <w:t>生产加工厂生态环境要求符合</w:t>
      </w:r>
      <w:r>
        <w:rPr>
          <w:kern w:val="21"/>
          <w:szCs w:val="21"/>
        </w:rPr>
        <w:t>NY/T 391</w:t>
      </w:r>
      <w:r>
        <w:rPr>
          <w:rFonts w:ascii="宋体" w:hAnsi="宋体" w:cs="宋体" w:hint="eastAsia"/>
          <w:kern w:val="21"/>
          <w:szCs w:val="21"/>
        </w:rPr>
        <w:t>的规定，选址和厂区环境、厂房和车间、设施与设备、卫生管理等应符合</w:t>
      </w:r>
      <w:r>
        <w:rPr>
          <w:kern w:val="21"/>
          <w:szCs w:val="21"/>
        </w:rPr>
        <w:t>GB 14881</w:t>
      </w:r>
      <w:r>
        <w:rPr>
          <w:kern w:val="21"/>
          <w:szCs w:val="21"/>
        </w:rPr>
        <w:t>、</w:t>
      </w:r>
      <w:r>
        <w:rPr>
          <w:szCs w:val="21"/>
        </w:rPr>
        <w:t>GB 8955</w:t>
      </w:r>
      <w:r>
        <w:rPr>
          <w:szCs w:val="21"/>
        </w:rPr>
        <w:t>、</w:t>
      </w:r>
      <w:r>
        <w:rPr>
          <w:szCs w:val="21"/>
        </w:rPr>
        <w:t>GB 31621</w:t>
      </w:r>
      <w:r>
        <w:rPr>
          <w:rFonts w:ascii="宋体" w:hAnsi="宋体" w:cs="宋体" w:hint="eastAsia"/>
          <w:kern w:val="21"/>
          <w:szCs w:val="21"/>
        </w:rPr>
        <w:t>的规定。</w:t>
      </w:r>
    </w:p>
    <w:p w:rsidR="00BF4EFC" w:rsidRDefault="00A94BE9">
      <w:pPr>
        <w:adjustRightInd w:val="0"/>
        <w:snapToGrid w:val="0"/>
        <w:spacing w:line="360" w:lineRule="auto"/>
        <w:rPr>
          <w:rFonts w:ascii="宋体" w:hAnsi="宋体" w:cs="宋体"/>
          <w:kern w:val="21"/>
          <w:szCs w:val="21"/>
        </w:rPr>
      </w:pPr>
      <w:r>
        <w:rPr>
          <w:kern w:val="21"/>
          <w:szCs w:val="21"/>
        </w:rPr>
        <w:t>4.2</w:t>
      </w:r>
      <w:r>
        <w:rPr>
          <w:rFonts w:ascii="宋体" w:hAnsi="宋体" w:cs="宋体" w:hint="eastAsia"/>
          <w:kern w:val="21"/>
          <w:szCs w:val="21"/>
        </w:rPr>
        <w:t xml:space="preserve">  浸出车间入口处应设置人员静电消除设施，人员应穿戴防静电服和鞋并使用防爆器材； 浸出车间应有足够的防火防爆设施，严禁易燃易爆物品进入浸出车间；不应在浸出车间、禁区内堆放杂物；浸出车间的危险位置应</w:t>
      </w:r>
      <w:proofErr w:type="gramStart"/>
      <w:r>
        <w:rPr>
          <w:rFonts w:ascii="宋体" w:hAnsi="宋体" w:cs="宋体" w:hint="eastAsia"/>
          <w:kern w:val="21"/>
          <w:szCs w:val="21"/>
        </w:rPr>
        <w:t>放危险</w:t>
      </w:r>
      <w:proofErr w:type="gramEnd"/>
      <w:r>
        <w:rPr>
          <w:rFonts w:ascii="宋体" w:hAnsi="宋体" w:cs="宋体" w:hint="eastAsia"/>
          <w:kern w:val="21"/>
          <w:szCs w:val="21"/>
        </w:rPr>
        <w:t>警示牌，熟练工人应控制好设备参数。</w:t>
      </w:r>
    </w:p>
    <w:p w:rsidR="00BF4EFC" w:rsidRDefault="00A94BE9" w:rsidP="00091C3B">
      <w:pPr>
        <w:pStyle w:val="1"/>
        <w:kinsoku w:val="0"/>
        <w:overflowPunct w:val="0"/>
        <w:adjustRightInd w:val="0"/>
        <w:snapToGrid w:val="0"/>
        <w:spacing w:line="360" w:lineRule="auto"/>
        <w:ind w:firstLineChars="0" w:firstLine="0"/>
        <w:contextualSpacing/>
        <w:outlineLvl w:val="0"/>
        <w:rPr>
          <w:rFonts w:eastAsia="黑体"/>
        </w:rPr>
      </w:pPr>
      <w:r>
        <w:rPr>
          <w:rFonts w:eastAsia="黑体"/>
        </w:rPr>
        <w:t>5</w:t>
      </w:r>
      <w:r>
        <w:rPr>
          <w:rFonts w:eastAsia="黑体" w:hint="eastAsia"/>
        </w:rPr>
        <w:t xml:space="preserve">  </w:t>
      </w:r>
      <w:r>
        <w:rPr>
          <w:rFonts w:eastAsia="黑体"/>
        </w:rPr>
        <w:t>原料要求</w:t>
      </w:r>
    </w:p>
    <w:p w:rsidR="00BF4EFC" w:rsidRDefault="00A94BE9">
      <w:pPr>
        <w:pStyle w:val="ab"/>
        <w:tabs>
          <w:tab w:val="left" w:pos="1130"/>
          <w:tab w:val="left" w:pos="1131"/>
        </w:tabs>
        <w:adjustRightInd w:val="0"/>
        <w:snapToGrid w:val="0"/>
        <w:spacing w:line="360" w:lineRule="auto"/>
        <w:ind w:left="0" w:firstLine="0"/>
        <w:jc w:val="left"/>
        <w:rPr>
          <w:rFonts w:ascii="Times New Roman" w:eastAsia="黑体" w:hAnsi="Times New Roman" w:cs="Times New Roman"/>
          <w:kern w:val="21"/>
          <w:szCs w:val="21"/>
          <w:lang w:eastAsia="zh-CN"/>
        </w:rPr>
      </w:pPr>
      <w:r>
        <w:rPr>
          <w:rFonts w:ascii="Times New Roman" w:eastAsia="黑体" w:hAnsi="Times New Roman" w:cs="Times New Roman"/>
          <w:kern w:val="21"/>
          <w:szCs w:val="21"/>
          <w:lang w:val="en-US" w:eastAsia="zh-CN"/>
        </w:rPr>
        <w:t>5.1</w:t>
      </w:r>
      <w:r>
        <w:rPr>
          <w:rFonts w:ascii="Times New Roman" w:eastAsia="黑体" w:hAnsi="Times New Roman" w:cs="Times New Roman" w:hint="eastAsia"/>
          <w:kern w:val="21"/>
          <w:szCs w:val="21"/>
          <w:lang w:val="en-US" w:eastAsia="zh-CN"/>
        </w:rPr>
        <w:t xml:space="preserve">  </w:t>
      </w:r>
      <w:r>
        <w:rPr>
          <w:rFonts w:ascii="Times New Roman" w:eastAsia="黑体" w:hAnsi="黑体" w:cs="Times New Roman" w:hint="eastAsia"/>
          <w:kern w:val="21"/>
          <w:szCs w:val="21"/>
          <w:lang w:eastAsia="zh-CN"/>
        </w:rPr>
        <w:t>原料</w:t>
      </w:r>
    </w:p>
    <w:p w:rsidR="00BF4EFC" w:rsidRDefault="00A94BE9">
      <w:pPr>
        <w:adjustRightInd w:val="0"/>
        <w:snapToGrid w:val="0"/>
        <w:spacing w:line="360" w:lineRule="auto"/>
        <w:ind w:firstLineChars="200" w:firstLine="420"/>
      </w:pPr>
      <w:r>
        <w:rPr>
          <w:rFonts w:eastAsiaTheme="majorEastAsia" w:hAnsiTheme="majorEastAsia"/>
          <w:kern w:val="21"/>
        </w:rPr>
        <w:t>油菜籽应符合国家标准</w:t>
      </w:r>
      <w:r>
        <w:rPr>
          <w:rFonts w:eastAsiaTheme="majorEastAsia" w:hAnsiTheme="majorEastAsia"/>
          <w:kern w:val="21"/>
        </w:rPr>
        <w:t>NY/T 2982</w:t>
      </w:r>
      <w:r>
        <w:rPr>
          <w:rFonts w:eastAsiaTheme="majorEastAsia" w:hAnsiTheme="majorEastAsia"/>
          <w:kern w:val="21"/>
        </w:rPr>
        <w:t>的要求</w:t>
      </w:r>
      <w:r>
        <w:rPr>
          <w:rFonts w:eastAsiaTheme="majorEastAsia" w:hAnsiTheme="majorEastAsia" w:hint="eastAsia"/>
          <w:kern w:val="21"/>
        </w:rPr>
        <w:t>。</w:t>
      </w:r>
      <w:r>
        <w:rPr>
          <w:rFonts w:eastAsiaTheme="majorEastAsia" w:hAnsiTheme="majorEastAsia"/>
          <w:kern w:val="21"/>
        </w:rPr>
        <w:t>油菜籽</w:t>
      </w:r>
      <w:r>
        <w:rPr>
          <w:rFonts w:hint="eastAsia"/>
        </w:rPr>
        <w:t>应来自获证绿色食品</w:t>
      </w:r>
      <w:r>
        <w:rPr>
          <w:rFonts w:eastAsiaTheme="majorEastAsia" w:hAnsiTheme="majorEastAsia"/>
          <w:kern w:val="21"/>
        </w:rPr>
        <w:t>油菜籽</w:t>
      </w:r>
      <w:r>
        <w:rPr>
          <w:rFonts w:hint="eastAsia"/>
        </w:rPr>
        <w:t>企业、合作社等主体或国家级绿色食品</w:t>
      </w:r>
      <w:r>
        <w:rPr>
          <w:rFonts w:eastAsiaTheme="majorEastAsia" w:hAnsiTheme="majorEastAsia"/>
          <w:kern w:val="21"/>
        </w:rPr>
        <w:t>油菜籽</w:t>
      </w:r>
      <w:r>
        <w:rPr>
          <w:rFonts w:hint="eastAsia"/>
        </w:rPr>
        <w:t>原料标准化生产基地或经绿色食品工作机构认定，按照绿色食品生产方式生产，达到绿色食品油菜籽标准的自建基地。</w:t>
      </w:r>
      <w:r>
        <w:rPr>
          <w:rFonts w:eastAsiaTheme="majorEastAsia" w:hAnsiTheme="majorEastAsia" w:hint="eastAsia"/>
          <w:kern w:val="21"/>
        </w:rPr>
        <w:t>不能使用转基因油菜籽作为生产原料。</w:t>
      </w:r>
      <w:r>
        <w:t>辅料</w:t>
      </w:r>
      <w:r>
        <w:rPr>
          <w:rFonts w:hint="eastAsia"/>
        </w:rPr>
        <w:t>的</w:t>
      </w:r>
      <w:r>
        <w:rPr>
          <w:rFonts w:eastAsiaTheme="majorEastAsia" w:hAnsiTheme="majorEastAsia"/>
          <w:kern w:val="21"/>
        </w:rPr>
        <w:t>选择</w:t>
      </w:r>
      <w:r>
        <w:t>应符合</w:t>
      </w:r>
      <w:r>
        <w:rPr>
          <w:rFonts w:hint="eastAsia"/>
        </w:rPr>
        <w:t>绿色食品标志许可审查工作规范相关要求。</w:t>
      </w:r>
    </w:p>
    <w:p w:rsidR="00BF4EFC" w:rsidRDefault="00A94BE9">
      <w:pPr>
        <w:adjustRightInd w:val="0"/>
        <w:snapToGrid w:val="0"/>
        <w:spacing w:line="360" w:lineRule="auto"/>
        <w:rPr>
          <w:rFonts w:eastAsia="黑体"/>
          <w:szCs w:val="21"/>
        </w:rPr>
      </w:pPr>
      <w:r>
        <w:rPr>
          <w:rFonts w:eastAsia="黑体" w:hint="eastAsia"/>
          <w:kern w:val="21"/>
        </w:rPr>
        <w:t xml:space="preserve">5.2  </w:t>
      </w:r>
      <w:r>
        <w:rPr>
          <w:rFonts w:eastAsia="黑体" w:hint="eastAsia"/>
          <w:kern w:val="21"/>
        </w:rPr>
        <w:t>食品</w:t>
      </w:r>
      <w:r>
        <w:rPr>
          <w:rFonts w:eastAsia="黑体" w:hAnsi="黑体"/>
          <w:szCs w:val="21"/>
        </w:rPr>
        <w:t>添加剂和</w:t>
      </w:r>
      <w:r>
        <w:rPr>
          <w:rFonts w:eastAsia="黑体" w:hAnsi="黑体" w:hint="eastAsia"/>
          <w:szCs w:val="21"/>
        </w:rPr>
        <w:t>食品营养</w:t>
      </w:r>
      <w:r>
        <w:rPr>
          <w:rFonts w:eastAsia="黑体" w:hAnsi="黑体"/>
          <w:szCs w:val="21"/>
        </w:rPr>
        <w:t>强化剂</w:t>
      </w:r>
    </w:p>
    <w:p w:rsidR="00BF4EFC" w:rsidRDefault="00A94BE9">
      <w:pPr>
        <w:pStyle w:val="1"/>
        <w:kinsoku w:val="0"/>
        <w:overflowPunct w:val="0"/>
        <w:adjustRightInd w:val="0"/>
        <w:snapToGrid w:val="0"/>
        <w:spacing w:line="360" w:lineRule="auto"/>
        <w:contextualSpacing/>
      </w:pPr>
      <w:r>
        <w:t>食品添加剂和食品营养强化剂</w:t>
      </w:r>
      <w:r>
        <w:rPr>
          <w:rFonts w:hint="eastAsia"/>
        </w:rPr>
        <w:t>应符合</w:t>
      </w:r>
      <w:r>
        <w:t>NY/T 392</w:t>
      </w:r>
      <w:r>
        <w:t>和</w:t>
      </w:r>
      <w:r>
        <w:t>GB 14880</w:t>
      </w:r>
      <w:r>
        <w:t>的相关规定执行</w:t>
      </w:r>
      <w:r>
        <w:rPr>
          <w:rFonts w:hint="eastAsia"/>
        </w:rPr>
        <w:t>，不能使用国家明令禁用的色素、防腐剂、品质改良剂、</w:t>
      </w:r>
      <w:r>
        <w:t>香精、香料</w:t>
      </w:r>
      <w:r>
        <w:rPr>
          <w:rFonts w:hint="eastAsia"/>
        </w:rPr>
        <w:t>等添加剂。产品</w:t>
      </w:r>
      <w:r>
        <w:t>中不应添加其他品种的油，不应添加矿物油等非食用油、不合格的原料油、回收油。</w:t>
      </w:r>
    </w:p>
    <w:p w:rsidR="00BF4EFC" w:rsidRDefault="00A94BE9">
      <w:pPr>
        <w:adjustRightInd w:val="0"/>
        <w:snapToGrid w:val="0"/>
        <w:spacing w:line="360" w:lineRule="auto"/>
        <w:rPr>
          <w:rFonts w:ascii="黑体" w:eastAsia="黑体"/>
          <w:kern w:val="21"/>
          <w:szCs w:val="21"/>
        </w:rPr>
      </w:pPr>
      <w:r>
        <w:rPr>
          <w:rFonts w:eastAsia="黑体" w:hint="eastAsia"/>
          <w:kern w:val="21"/>
        </w:rPr>
        <w:t xml:space="preserve">5.3  </w:t>
      </w:r>
      <w:r>
        <w:rPr>
          <w:rFonts w:ascii="黑体" w:eastAsia="黑体" w:hint="eastAsia"/>
          <w:kern w:val="21"/>
          <w:szCs w:val="21"/>
        </w:rPr>
        <w:t>加工助剂要求</w:t>
      </w:r>
    </w:p>
    <w:p w:rsidR="00BF4EFC" w:rsidRDefault="00A94BE9">
      <w:pPr>
        <w:adjustRightInd w:val="0"/>
        <w:snapToGrid w:val="0"/>
        <w:spacing w:line="360" w:lineRule="auto"/>
        <w:ind w:firstLineChars="200" w:firstLine="420"/>
        <w:rPr>
          <w:kern w:val="21"/>
          <w:szCs w:val="21"/>
        </w:rPr>
      </w:pPr>
      <w:r>
        <w:rPr>
          <w:kern w:val="21"/>
          <w:szCs w:val="21"/>
        </w:rPr>
        <w:t>浸出使用的油提溶剂应符合</w:t>
      </w:r>
      <w:r>
        <w:rPr>
          <w:kern w:val="21"/>
          <w:szCs w:val="21"/>
        </w:rPr>
        <w:t>GB 1886.52</w:t>
      </w:r>
      <w:r>
        <w:rPr>
          <w:kern w:val="21"/>
          <w:szCs w:val="21"/>
        </w:rPr>
        <w:t>的要求及有关规定。</w:t>
      </w:r>
    </w:p>
    <w:p w:rsidR="005538BE" w:rsidRDefault="005538BE" w:rsidP="005538BE">
      <w:pPr>
        <w:adjustRightInd w:val="0"/>
        <w:snapToGrid w:val="0"/>
        <w:spacing w:line="360" w:lineRule="auto"/>
        <w:rPr>
          <w:rFonts w:ascii="黑体" w:eastAsia="黑体"/>
          <w:kern w:val="21"/>
          <w:szCs w:val="21"/>
        </w:rPr>
      </w:pPr>
      <w:r>
        <w:rPr>
          <w:rFonts w:eastAsia="黑体" w:hint="eastAsia"/>
          <w:kern w:val="21"/>
        </w:rPr>
        <w:t xml:space="preserve">5.4  </w:t>
      </w:r>
      <w:r>
        <w:rPr>
          <w:rFonts w:ascii="黑体" w:eastAsia="黑体" w:hint="eastAsia"/>
          <w:kern w:val="21"/>
          <w:szCs w:val="21"/>
        </w:rPr>
        <w:t>加工用水</w:t>
      </w:r>
    </w:p>
    <w:p w:rsidR="00BF4EFC" w:rsidRDefault="005538BE">
      <w:pPr>
        <w:adjustRightInd w:val="0"/>
        <w:snapToGrid w:val="0"/>
        <w:spacing w:line="360" w:lineRule="auto"/>
        <w:ind w:firstLineChars="200" w:firstLine="420"/>
        <w:rPr>
          <w:kern w:val="21"/>
          <w:szCs w:val="21"/>
        </w:rPr>
      </w:pPr>
      <w:r>
        <w:rPr>
          <w:rFonts w:hint="eastAsia"/>
          <w:kern w:val="21"/>
          <w:szCs w:val="21"/>
        </w:rPr>
        <w:t>加工</w:t>
      </w:r>
      <w:r w:rsidR="00A94BE9">
        <w:rPr>
          <w:kern w:val="21"/>
          <w:szCs w:val="21"/>
        </w:rPr>
        <w:t>用水要求符合</w:t>
      </w:r>
      <w:r w:rsidR="00A94BE9">
        <w:rPr>
          <w:kern w:val="21"/>
          <w:szCs w:val="21"/>
        </w:rPr>
        <w:t>NY/T 391</w:t>
      </w:r>
      <w:r w:rsidR="00A94BE9">
        <w:rPr>
          <w:kern w:val="21"/>
          <w:szCs w:val="21"/>
        </w:rPr>
        <w:t>的要求。</w:t>
      </w:r>
    </w:p>
    <w:p w:rsidR="00BF4EFC" w:rsidRDefault="00A94BE9" w:rsidP="00091C3B">
      <w:pPr>
        <w:pStyle w:val="1"/>
        <w:kinsoku w:val="0"/>
        <w:overflowPunct w:val="0"/>
        <w:adjustRightInd w:val="0"/>
        <w:snapToGrid w:val="0"/>
        <w:spacing w:line="360" w:lineRule="auto"/>
        <w:ind w:firstLineChars="0" w:firstLine="0"/>
        <w:contextualSpacing/>
        <w:outlineLvl w:val="0"/>
        <w:rPr>
          <w:rFonts w:eastAsia="黑体"/>
        </w:rPr>
      </w:pPr>
      <w:r>
        <w:rPr>
          <w:rFonts w:eastAsia="黑体"/>
        </w:rPr>
        <w:t>6</w:t>
      </w:r>
      <w:r>
        <w:rPr>
          <w:rFonts w:eastAsia="黑体" w:hint="eastAsia"/>
        </w:rPr>
        <w:t xml:space="preserve">  </w:t>
      </w:r>
      <w:r>
        <w:rPr>
          <w:rFonts w:eastAsia="黑体"/>
        </w:rPr>
        <w:t>加工工艺流程</w:t>
      </w:r>
      <w:r>
        <w:rPr>
          <w:rFonts w:eastAsia="黑体"/>
        </w:rPr>
        <w:t xml:space="preserve"> </w:t>
      </w:r>
    </w:p>
    <w:p w:rsidR="00BF4EFC" w:rsidRDefault="00A94BE9">
      <w:pPr>
        <w:adjustRightInd w:val="0"/>
        <w:snapToGrid w:val="0"/>
        <w:spacing w:line="360" w:lineRule="auto"/>
        <w:rPr>
          <w:rFonts w:eastAsia="黑体"/>
          <w:kern w:val="21"/>
          <w:szCs w:val="21"/>
        </w:rPr>
      </w:pPr>
      <w:r>
        <w:rPr>
          <w:rFonts w:eastAsia="黑体"/>
          <w:kern w:val="21"/>
          <w:szCs w:val="21"/>
        </w:rPr>
        <w:t>6.1</w:t>
      </w:r>
      <w:r>
        <w:rPr>
          <w:rFonts w:eastAsia="黑体" w:hint="eastAsia"/>
          <w:kern w:val="21"/>
          <w:szCs w:val="21"/>
        </w:rPr>
        <w:t xml:space="preserve">  </w:t>
      </w:r>
      <w:proofErr w:type="gramStart"/>
      <w:r>
        <w:rPr>
          <w:rFonts w:eastAsia="黑体"/>
          <w:kern w:val="21"/>
          <w:szCs w:val="21"/>
        </w:rPr>
        <w:t>菜籽油</w:t>
      </w:r>
      <w:proofErr w:type="gramEnd"/>
      <w:r>
        <w:rPr>
          <w:rFonts w:eastAsia="黑体"/>
          <w:kern w:val="21"/>
          <w:szCs w:val="21"/>
        </w:rPr>
        <w:t>预</w:t>
      </w:r>
      <w:proofErr w:type="gramStart"/>
      <w:r>
        <w:rPr>
          <w:rFonts w:eastAsia="黑体"/>
          <w:kern w:val="21"/>
          <w:szCs w:val="21"/>
        </w:rPr>
        <w:t>榨</w:t>
      </w:r>
      <w:proofErr w:type="gramEnd"/>
      <w:r>
        <w:rPr>
          <w:rFonts w:eastAsia="黑体"/>
          <w:kern w:val="21"/>
          <w:szCs w:val="21"/>
        </w:rPr>
        <w:t>浸出毛油生产工艺流程</w:t>
      </w:r>
    </w:p>
    <w:p w:rsidR="00BF4EFC" w:rsidRDefault="00A94BE9">
      <w:pPr>
        <w:adjustRightInd w:val="0"/>
        <w:snapToGrid w:val="0"/>
        <w:ind w:leftChars="200" w:left="5670" w:hangingChars="2500" w:hanging="5250"/>
        <w:rPr>
          <w:szCs w:val="21"/>
        </w:rPr>
      </w:pPr>
      <w:r>
        <w:rPr>
          <w:szCs w:val="21"/>
        </w:rPr>
        <w:t>油菜籽</w:t>
      </w:r>
      <w:r>
        <w:rPr>
          <w:szCs w:val="21"/>
        </w:rPr>
        <w:t>→</w:t>
      </w:r>
      <w:r>
        <w:rPr>
          <w:kern w:val="21"/>
          <w:szCs w:val="21"/>
        </w:rPr>
        <w:t>清理</w:t>
      </w:r>
      <w:r>
        <w:rPr>
          <w:szCs w:val="21"/>
        </w:rPr>
        <w:t>→</w:t>
      </w:r>
      <w:r>
        <w:rPr>
          <w:szCs w:val="21"/>
        </w:rPr>
        <w:t>调质软化</w:t>
      </w:r>
      <w:r>
        <w:rPr>
          <w:szCs w:val="21"/>
        </w:rPr>
        <w:t>→</w:t>
      </w:r>
      <w:r>
        <w:rPr>
          <w:szCs w:val="21"/>
        </w:rPr>
        <w:t>轧胚</w:t>
      </w:r>
      <w:r>
        <w:rPr>
          <w:szCs w:val="21"/>
        </w:rPr>
        <w:t>→</w:t>
      </w:r>
      <w:r>
        <w:rPr>
          <w:szCs w:val="21"/>
        </w:rPr>
        <w:t>蒸炒</w:t>
      </w:r>
      <w:r>
        <w:rPr>
          <w:szCs w:val="21"/>
        </w:rPr>
        <w:t>→</w:t>
      </w:r>
      <w:proofErr w:type="gramStart"/>
      <w:r>
        <w:rPr>
          <w:szCs w:val="21"/>
        </w:rPr>
        <w:t>榨</w:t>
      </w:r>
      <w:proofErr w:type="gramEnd"/>
      <w:r>
        <w:rPr>
          <w:szCs w:val="21"/>
        </w:rPr>
        <w:t>机</w:t>
      </w:r>
      <w:r>
        <w:rPr>
          <w:szCs w:val="21"/>
        </w:rPr>
        <w:t>→</w:t>
      </w:r>
      <w:r>
        <w:rPr>
          <w:szCs w:val="21"/>
        </w:rPr>
        <w:t>浸出</w:t>
      </w:r>
      <w:r>
        <w:rPr>
          <w:szCs w:val="21"/>
        </w:rPr>
        <w:t>→</w:t>
      </w:r>
      <w:r>
        <w:rPr>
          <w:szCs w:val="21"/>
        </w:rPr>
        <w:t>蒸发</w:t>
      </w:r>
      <w:r>
        <w:rPr>
          <w:szCs w:val="21"/>
        </w:rPr>
        <w:t>→</w:t>
      </w:r>
      <w:r>
        <w:rPr>
          <w:szCs w:val="21"/>
        </w:rPr>
        <w:t>汽提</w:t>
      </w:r>
      <w:r>
        <w:rPr>
          <w:szCs w:val="21"/>
        </w:rPr>
        <w:t>→</w:t>
      </w:r>
      <w:r>
        <w:rPr>
          <w:szCs w:val="21"/>
        </w:rPr>
        <w:t>浸出毛油</w:t>
      </w:r>
      <w:r>
        <w:rPr>
          <w:szCs w:val="21"/>
        </w:rPr>
        <w:t xml:space="preserve">                      ↓         </w:t>
      </w:r>
    </w:p>
    <w:p w:rsidR="00BF4EFC" w:rsidRDefault="00A94BE9">
      <w:pPr>
        <w:adjustRightInd w:val="0"/>
        <w:snapToGrid w:val="0"/>
        <w:ind w:firstLineChars="200" w:firstLine="420"/>
        <w:rPr>
          <w:szCs w:val="21"/>
        </w:rPr>
      </w:pPr>
      <w:r>
        <w:rPr>
          <w:szCs w:val="21"/>
        </w:rPr>
        <w:t xml:space="preserve">                                              </w:t>
      </w:r>
      <w:r>
        <w:rPr>
          <w:szCs w:val="21"/>
        </w:rPr>
        <w:t>预</w:t>
      </w:r>
      <w:proofErr w:type="gramStart"/>
      <w:r>
        <w:rPr>
          <w:szCs w:val="21"/>
        </w:rPr>
        <w:t>榨</w:t>
      </w:r>
      <w:proofErr w:type="gramEnd"/>
      <w:r>
        <w:rPr>
          <w:szCs w:val="21"/>
        </w:rPr>
        <w:t>毛油</w:t>
      </w:r>
    </w:p>
    <w:p w:rsidR="00BF4EFC" w:rsidRDefault="00A94BE9">
      <w:pPr>
        <w:adjustRightInd w:val="0"/>
        <w:snapToGrid w:val="0"/>
        <w:spacing w:line="360" w:lineRule="auto"/>
        <w:rPr>
          <w:rFonts w:eastAsia="黑体"/>
          <w:kern w:val="21"/>
          <w:szCs w:val="21"/>
        </w:rPr>
      </w:pPr>
      <w:r>
        <w:rPr>
          <w:rFonts w:eastAsia="黑体"/>
          <w:kern w:val="21"/>
          <w:szCs w:val="21"/>
        </w:rPr>
        <w:t>6.2</w:t>
      </w:r>
      <w:r>
        <w:rPr>
          <w:rFonts w:eastAsia="黑体" w:hint="eastAsia"/>
          <w:kern w:val="21"/>
          <w:szCs w:val="21"/>
        </w:rPr>
        <w:t xml:space="preserve">  </w:t>
      </w:r>
      <w:proofErr w:type="gramStart"/>
      <w:r>
        <w:rPr>
          <w:rFonts w:eastAsia="黑体"/>
          <w:kern w:val="21"/>
          <w:szCs w:val="21"/>
        </w:rPr>
        <w:t>菜籽油</w:t>
      </w:r>
      <w:proofErr w:type="gramEnd"/>
      <w:r>
        <w:rPr>
          <w:rFonts w:eastAsia="黑体"/>
          <w:kern w:val="21"/>
          <w:szCs w:val="21"/>
        </w:rPr>
        <w:t>预</w:t>
      </w:r>
      <w:proofErr w:type="gramStart"/>
      <w:r>
        <w:rPr>
          <w:rFonts w:eastAsia="黑体"/>
          <w:kern w:val="21"/>
          <w:szCs w:val="21"/>
        </w:rPr>
        <w:t>榨</w:t>
      </w:r>
      <w:proofErr w:type="gramEnd"/>
      <w:r>
        <w:rPr>
          <w:rFonts w:eastAsia="黑体"/>
          <w:kern w:val="21"/>
          <w:szCs w:val="21"/>
        </w:rPr>
        <w:t>浸出毛油精炼工艺流程</w:t>
      </w:r>
    </w:p>
    <w:p w:rsidR="00BF4EFC" w:rsidRDefault="00A94BE9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毛油过滤</w:t>
      </w:r>
      <w:r>
        <w:rPr>
          <w:szCs w:val="21"/>
        </w:rPr>
        <w:t>→</w:t>
      </w:r>
      <w:r>
        <w:rPr>
          <w:szCs w:val="21"/>
        </w:rPr>
        <w:t>脱胶</w:t>
      </w:r>
      <w:r>
        <w:rPr>
          <w:szCs w:val="21"/>
        </w:rPr>
        <w:t>→</w:t>
      </w:r>
      <w:r>
        <w:rPr>
          <w:szCs w:val="21"/>
        </w:rPr>
        <w:t>脱酸</w:t>
      </w:r>
      <w:r>
        <w:rPr>
          <w:szCs w:val="21"/>
        </w:rPr>
        <w:t>→</w:t>
      </w:r>
      <w:r>
        <w:rPr>
          <w:szCs w:val="21"/>
        </w:rPr>
        <w:t>水洗、干燥</w:t>
      </w:r>
      <w:r>
        <w:rPr>
          <w:szCs w:val="21"/>
        </w:rPr>
        <w:t>→</w:t>
      </w:r>
      <w:r>
        <w:rPr>
          <w:szCs w:val="21"/>
        </w:rPr>
        <w:t>脱色</w:t>
      </w:r>
      <w:r>
        <w:rPr>
          <w:szCs w:val="21"/>
        </w:rPr>
        <w:t>→</w:t>
      </w:r>
      <w:r>
        <w:rPr>
          <w:szCs w:val="21"/>
        </w:rPr>
        <w:t>脱臭</w:t>
      </w:r>
      <w:r>
        <w:rPr>
          <w:szCs w:val="21"/>
        </w:rPr>
        <w:t>→</w:t>
      </w:r>
      <w:r>
        <w:rPr>
          <w:szCs w:val="21"/>
        </w:rPr>
        <w:t>成品油。</w:t>
      </w:r>
    </w:p>
    <w:p w:rsidR="00BF4EFC" w:rsidRDefault="00A94BE9" w:rsidP="00091C3B">
      <w:pPr>
        <w:pStyle w:val="1"/>
        <w:kinsoku w:val="0"/>
        <w:overflowPunct w:val="0"/>
        <w:adjustRightInd w:val="0"/>
        <w:snapToGrid w:val="0"/>
        <w:spacing w:line="360" w:lineRule="auto"/>
        <w:ind w:firstLineChars="0" w:firstLine="0"/>
        <w:contextualSpacing/>
        <w:outlineLvl w:val="0"/>
        <w:rPr>
          <w:rFonts w:eastAsia="黑体"/>
        </w:rPr>
      </w:pPr>
      <w:r>
        <w:rPr>
          <w:rFonts w:eastAsia="黑体"/>
        </w:rPr>
        <w:t>7</w:t>
      </w:r>
      <w:r>
        <w:rPr>
          <w:rFonts w:eastAsia="黑体" w:hint="eastAsia"/>
        </w:rPr>
        <w:t xml:space="preserve">  </w:t>
      </w:r>
      <w:r>
        <w:rPr>
          <w:rFonts w:eastAsia="黑体"/>
        </w:rPr>
        <w:t>操作要点</w:t>
      </w:r>
    </w:p>
    <w:p w:rsidR="00BF4EFC" w:rsidRDefault="00A94BE9">
      <w:pPr>
        <w:adjustRightInd w:val="0"/>
        <w:snapToGrid w:val="0"/>
        <w:spacing w:line="360" w:lineRule="auto"/>
        <w:rPr>
          <w:rFonts w:eastAsia="黑体"/>
          <w:kern w:val="21"/>
          <w:szCs w:val="21"/>
        </w:rPr>
      </w:pPr>
      <w:r>
        <w:rPr>
          <w:rFonts w:eastAsia="黑体"/>
          <w:kern w:val="21"/>
          <w:szCs w:val="21"/>
        </w:rPr>
        <w:t>7.1</w:t>
      </w:r>
      <w:r>
        <w:rPr>
          <w:rFonts w:eastAsia="黑体" w:hint="eastAsia"/>
          <w:kern w:val="21"/>
          <w:szCs w:val="21"/>
        </w:rPr>
        <w:t xml:space="preserve">  </w:t>
      </w:r>
      <w:r>
        <w:rPr>
          <w:rFonts w:eastAsia="黑体"/>
          <w:kern w:val="21"/>
          <w:szCs w:val="21"/>
        </w:rPr>
        <w:t>预</w:t>
      </w:r>
      <w:proofErr w:type="gramStart"/>
      <w:r>
        <w:rPr>
          <w:rFonts w:eastAsia="黑体"/>
          <w:kern w:val="21"/>
          <w:szCs w:val="21"/>
        </w:rPr>
        <w:t>榨</w:t>
      </w:r>
      <w:proofErr w:type="gramEnd"/>
      <w:r>
        <w:rPr>
          <w:rFonts w:eastAsia="黑体"/>
          <w:kern w:val="21"/>
          <w:szCs w:val="21"/>
        </w:rPr>
        <w:t>浸出</w:t>
      </w:r>
      <w:proofErr w:type="gramStart"/>
      <w:r>
        <w:rPr>
          <w:rFonts w:eastAsia="黑体"/>
          <w:kern w:val="21"/>
          <w:szCs w:val="21"/>
        </w:rPr>
        <w:t>菜籽油</w:t>
      </w:r>
      <w:proofErr w:type="gramEnd"/>
      <w:r>
        <w:rPr>
          <w:rFonts w:eastAsia="黑体"/>
          <w:kern w:val="21"/>
          <w:szCs w:val="21"/>
        </w:rPr>
        <w:t>操作要点</w:t>
      </w:r>
    </w:p>
    <w:p w:rsidR="00BF4EFC" w:rsidRDefault="00A94BE9" w:rsidP="00091C3B">
      <w:pPr>
        <w:adjustRightInd w:val="0"/>
        <w:snapToGrid w:val="0"/>
        <w:spacing w:line="360" w:lineRule="auto"/>
        <w:outlineLvl w:val="0"/>
        <w:rPr>
          <w:rFonts w:eastAsia="黑体"/>
          <w:kern w:val="21"/>
          <w:szCs w:val="21"/>
        </w:rPr>
      </w:pPr>
      <w:r>
        <w:rPr>
          <w:rFonts w:eastAsia="黑体"/>
          <w:kern w:val="21"/>
          <w:szCs w:val="21"/>
        </w:rPr>
        <w:t>7.1.1</w:t>
      </w:r>
      <w:r>
        <w:rPr>
          <w:rFonts w:eastAsia="黑体" w:hint="eastAsia"/>
          <w:kern w:val="21"/>
          <w:szCs w:val="21"/>
        </w:rPr>
        <w:t xml:space="preserve"> </w:t>
      </w:r>
      <w:r>
        <w:rPr>
          <w:rFonts w:eastAsia="黑体"/>
          <w:kern w:val="21"/>
          <w:szCs w:val="21"/>
        </w:rPr>
        <w:t>清理</w:t>
      </w:r>
    </w:p>
    <w:p w:rsidR="00BF4EFC" w:rsidRDefault="00A94BE9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油菜籽先进行清理。先筛出其中的大杂，再去除原料中的石子、并肩泥等杂质，最后进一步除去其中的轻型杂质。清理后含杂量不超过</w:t>
      </w:r>
      <w:r>
        <w:rPr>
          <w:szCs w:val="21"/>
        </w:rPr>
        <w:t>0.5%</w:t>
      </w:r>
      <w:r>
        <w:rPr>
          <w:szCs w:val="21"/>
        </w:rPr>
        <w:t>。</w:t>
      </w:r>
    </w:p>
    <w:p w:rsidR="00BF4EFC" w:rsidRDefault="00A94BE9" w:rsidP="00091C3B">
      <w:pPr>
        <w:adjustRightInd w:val="0"/>
        <w:snapToGrid w:val="0"/>
        <w:spacing w:line="360" w:lineRule="auto"/>
        <w:outlineLvl w:val="0"/>
        <w:rPr>
          <w:rFonts w:eastAsia="黑体"/>
          <w:kern w:val="21"/>
          <w:szCs w:val="21"/>
        </w:rPr>
      </w:pPr>
      <w:r>
        <w:rPr>
          <w:rFonts w:eastAsia="黑体"/>
          <w:kern w:val="21"/>
          <w:szCs w:val="21"/>
        </w:rPr>
        <w:t>7.1.2</w:t>
      </w:r>
      <w:r>
        <w:rPr>
          <w:rFonts w:eastAsia="黑体" w:hint="eastAsia"/>
          <w:kern w:val="21"/>
          <w:szCs w:val="21"/>
        </w:rPr>
        <w:t xml:space="preserve"> </w:t>
      </w:r>
      <w:r>
        <w:rPr>
          <w:rFonts w:eastAsia="黑体"/>
          <w:kern w:val="21"/>
          <w:szCs w:val="21"/>
        </w:rPr>
        <w:t>调质软化</w:t>
      </w:r>
    </w:p>
    <w:p w:rsidR="00BF4EFC" w:rsidRDefault="00A94BE9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清理好的油菜籽进行调温、调湿处理。调质后的菜籽通过出料刮板输送至后续设备进入下一个工段的处理，软化料出料温度控制在</w:t>
      </w:r>
      <w:r>
        <w:rPr>
          <w:szCs w:val="21"/>
        </w:rPr>
        <w:t>60℃~65℃</w:t>
      </w:r>
      <w:r>
        <w:rPr>
          <w:szCs w:val="21"/>
        </w:rPr>
        <w:t>。</w:t>
      </w:r>
    </w:p>
    <w:p w:rsidR="00BF4EFC" w:rsidRDefault="00A94BE9" w:rsidP="00091C3B">
      <w:pPr>
        <w:adjustRightInd w:val="0"/>
        <w:snapToGrid w:val="0"/>
        <w:spacing w:line="360" w:lineRule="auto"/>
        <w:outlineLvl w:val="0"/>
        <w:rPr>
          <w:rFonts w:eastAsia="黑体"/>
          <w:kern w:val="21"/>
          <w:szCs w:val="21"/>
        </w:rPr>
      </w:pPr>
      <w:r>
        <w:rPr>
          <w:rFonts w:eastAsia="黑体"/>
          <w:kern w:val="21"/>
          <w:szCs w:val="21"/>
        </w:rPr>
        <w:t>7.1.3</w:t>
      </w:r>
      <w:r>
        <w:rPr>
          <w:rFonts w:eastAsia="黑体" w:hint="eastAsia"/>
          <w:kern w:val="21"/>
          <w:szCs w:val="21"/>
        </w:rPr>
        <w:t xml:space="preserve"> </w:t>
      </w:r>
      <w:r>
        <w:rPr>
          <w:rFonts w:eastAsia="黑体"/>
          <w:kern w:val="21"/>
          <w:szCs w:val="21"/>
        </w:rPr>
        <w:t>轧胚蒸炒</w:t>
      </w:r>
    </w:p>
    <w:p w:rsidR="00BF4EFC" w:rsidRDefault="00A94BE9">
      <w:pPr>
        <w:adjustRightInd w:val="0"/>
        <w:snapToGrid w:val="0"/>
        <w:spacing w:line="360" w:lineRule="auto"/>
        <w:ind w:firstLineChars="200" w:firstLine="420"/>
      </w:pPr>
      <w:r>
        <w:t>经过调质后的油菜籽原料进入轧胚机进行轧胚，</w:t>
      </w:r>
      <w:proofErr w:type="gramStart"/>
      <w:r>
        <w:t>胚片厚度</w:t>
      </w:r>
      <w:proofErr w:type="gramEnd"/>
      <w:r>
        <w:t>在</w:t>
      </w:r>
      <w:r>
        <w:t>0.30mm</w:t>
      </w:r>
      <w:r>
        <w:rPr>
          <w:szCs w:val="21"/>
        </w:rPr>
        <w:t>~</w:t>
      </w:r>
      <w:r>
        <w:t>0.40mm</w:t>
      </w:r>
      <w:r>
        <w:t>左右；</w:t>
      </w:r>
      <w:proofErr w:type="gramStart"/>
      <w:r>
        <w:t>此时胚片中</w:t>
      </w:r>
      <w:proofErr w:type="gramEnd"/>
      <w:r>
        <w:t>的残余湿气必须经过</w:t>
      </w:r>
      <w:proofErr w:type="gramStart"/>
      <w:r>
        <w:t>除湿风网</w:t>
      </w:r>
      <w:proofErr w:type="gramEnd"/>
      <w:r>
        <w:t>系统去除，然后</w:t>
      </w:r>
      <w:proofErr w:type="gramStart"/>
      <w:r>
        <w:t>通过胚片收集</w:t>
      </w:r>
      <w:proofErr w:type="gramEnd"/>
      <w:r>
        <w:t>系统</w:t>
      </w:r>
      <w:proofErr w:type="gramStart"/>
      <w:r>
        <w:t>收集胚片进入</w:t>
      </w:r>
      <w:proofErr w:type="gramEnd"/>
      <w:r>
        <w:t>蒸炒系统。蒸炒的过程起到了进一步调节油料水分和温度的作用。</w:t>
      </w:r>
    </w:p>
    <w:p w:rsidR="00BF4EFC" w:rsidRDefault="00A94BE9" w:rsidP="00091C3B">
      <w:pPr>
        <w:adjustRightInd w:val="0"/>
        <w:snapToGrid w:val="0"/>
        <w:spacing w:line="360" w:lineRule="auto"/>
        <w:outlineLvl w:val="0"/>
        <w:rPr>
          <w:rFonts w:eastAsia="黑体"/>
        </w:rPr>
      </w:pPr>
      <w:r>
        <w:rPr>
          <w:rFonts w:eastAsia="黑体"/>
        </w:rPr>
        <w:t>7.1.4</w:t>
      </w:r>
      <w:r>
        <w:rPr>
          <w:rFonts w:eastAsia="黑体" w:hint="eastAsia"/>
        </w:rPr>
        <w:t xml:space="preserve"> </w:t>
      </w:r>
      <w:r>
        <w:rPr>
          <w:rFonts w:eastAsia="黑体"/>
        </w:rPr>
        <w:t>预</w:t>
      </w:r>
      <w:proofErr w:type="gramStart"/>
      <w:r>
        <w:rPr>
          <w:rFonts w:eastAsia="黑体"/>
        </w:rPr>
        <w:t>榨</w:t>
      </w:r>
      <w:proofErr w:type="gramEnd"/>
    </w:p>
    <w:p w:rsidR="00BF4EFC" w:rsidRDefault="00A94BE9">
      <w:pPr>
        <w:adjustRightInd w:val="0"/>
        <w:snapToGrid w:val="0"/>
        <w:spacing w:line="360" w:lineRule="auto"/>
        <w:ind w:firstLineChars="200" w:firstLine="420"/>
      </w:pPr>
      <w:r>
        <w:t>采用低温压榨工艺，在较低压榨温度下，通过</w:t>
      </w:r>
      <w:proofErr w:type="gramStart"/>
      <w:r>
        <w:t>榨机压力</w:t>
      </w:r>
      <w:proofErr w:type="gramEnd"/>
      <w:r>
        <w:t>将蒸炒后的熟胚压榨出油。低温预</w:t>
      </w:r>
      <w:proofErr w:type="gramStart"/>
      <w:r>
        <w:t>榨</w:t>
      </w:r>
      <w:proofErr w:type="gramEnd"/>
      <w:r>
        <w:t>工艺要求，入</w:t>
      </w:r>
      <w:proofErr w:type="gramStart"/>
      <w:r>
        <w:t>榨</w:t>
      </w:r>
      <w:proofErr w:type="gramEnd"/>
      <w:r>
        <w:t>温度：</w:t>
      </w:r>
      <w:r>
        <w:t>60℃</w:t>
      </w:r>
      <w:r>
        <w:t>～</w:t>
      </w:r>
      <w:r>
        <w:t>65℃</w:t>
      </w:r>
      <w:r>
        <w:t>，入</w:t>
      </w:r>
      <w:proofErr w:type="gramStart"/>
      <w:r>
        <w:t>榨</w:t>
      </w:r>
      <w:proofErr w:type="gramEnd"/>
      <w:r>
        <w:t>水分</w:t>
      </w:r>
      <w:r>
        <w:rPr>
          <w:rFonts w:hint="eastAsia"/>
        </w:rPr>
        <w:t>≤</w:t>
      </w:r>
      <w:r>
        <w:t>10%</w:t>
      </w:r>
      <w:r>
        <w:t>；出饼温度</w:t>
      </w:r>
      <w:r>
        <w:rPr>
          <w:rFonts w:hint="eastAsia"/>
        </w:rPr>
        <w:t>≤</w:t>
      </w:r>
      <w:r>
        <w:t>100℃</w:t>
      </w:r>
      <w:r>
        <w:t>。</w:t>
      </w:r>
    </w:p>
    <w:p w:rsidR="00BF4EFC" w:rsidRDefault="00A94BE9" w:rsidP="00091C3B">
      <w:pPr>
        <w:adjustRightInd w:val="0"/>
        <w:snapToGrid w:val="0"/>
        <w:spacing w:line="360" w:lineRule="auto"/>
        <w:outlineLvl w:val="0"/>
        <w:rPr>
          <w:rFonts w:eastAsia="黑体"/>
          <w:kern w:val="21"/>
          <w:szCs w:val="21"/>
        </w:rPr>
      </w:pPr>
      <w:r>
        <w:rPr>
          <w:rFonts w:eastAsia="黑体"/>
          <w:kern w:val="21"/>
          <w:szCs w:val="21"/>
        </w:rPr>
        <w:t>7.1.5</w:t>
      </w:r>
      <w:r>
        <w:rPr>
          <w:rFonts w:eastAsia="黑体" w:hint="eastAsia"/>
          <w:kern w:val="21"/>
          <w:szCs w:val="21"/>
        </w:rPr>
        <w:t xml:space="preserve"> </w:t>
      </w:r>
      <w:r>
        <w:rPr>
          <w:rFonts w:eastAsia="黑体"/>
          <w:kern w:val="21"/>
          <w:szCs w:val="21"/>
        </w:rPr>
        <w:t>浸出</w:t>
      </w:r>
    </w:p>
    <w:p w:rsidR="00BF4EFC" w:rsidRDefault="00A94BE9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膨化</w:t>
      </w:r>
      <w:proofErr w:type="gramStart"/>
      <w:r>
        <w:rPr>
          <w:szCs w:val="21"/>
        </w:rPr>
        <w:t>料进入</w:t>
      </w:r>
      <w:proofErr w:type="gramEnd"/>
      <w:r>
        <w:rPr>
          <w:szCs w:val="21"/>
        </w:rPr>
        <w:t>浸出器中，利用有机溶剂对油料进行浸泡、喷淋等处理，浸出油料中的油脂，混合油经长管蒸发器多次汽提蒸发得到浸出毛油，湿</w:t>
      </w:r>
      <w:proofErr w:type="gramStart"/>
      <w:r>
        <w:rPr>
          <w:szCs w:val="21"/>
        </w:rPr>
        <w:t>粕</w:t>
      </w:r>
      <w:proofErr w:type="gramEnd"/>
      <w:r>
        <w:rPr>
          <w:szCs w:val="21"/>
        </w:rPr>
        <w:t>通过</w:t>
      </w:r>
      <w:proofErr w:type="gramStart"/>
      <w:r>
        <w:rPr>
          <w:szCs w:val="21"/>
        </w:rPr>
        <w:t>蒸</w:t>
      </w:r>
      <w:proofErr w:type="gramEnd"/>
      <w:r>
        <w:rPr>
          <w:szCs w:val="21"/>
        </w:rPr>
        <w:t>脱机进行蒸脱，再干燥和冷却成为成品</w:t>
      </w:r>
      <w:proofErr w:type="gramStart"/>
      <w:r>
        <w:rPr>
          <w:szCs w:val="21"/>
        </w:rPr>
        <w:t>粕</w:t>
      </w:r>
      <w:proofErr w:type="gramEnd"/>
      <w:r>
        <w:rPr>
          <w:szCs w:val="21"/>
        </w:rPr>
        <w:t>。浸出工艺和质量参数见表</w:t>
      </w:r>
      <w:r>
        <w:rPr>
          <w:szCs w:val="21"/>
        </w:rPr>
        <w:t>1</w:t>
      </w:r>
      <w:r>
        <w:rPr>
          <w:szCs w:val="21"/>
        </w:rPr>
        <w:t>。</w:t>
      </w:r>
    </w:p>
    <w:p w:rsidR="00BF4EFC" w:rsidRDefault="00A94BE9">
      <w:pPr>
        <w:adjustRightInd w:val="0"/>
        <w:snapToGrid w:val="0"/>
        <w:spacing w:line="360" w:lineRule="auto"/>
        <w:ind w:firstLineChars="200" w:firstLine="420"/>
        <w:jc w:val="center"/>
        <w:rPr>
          <w:szCs w:val="21"/>
        </w:rPr>
      </w:pPr>
      <w:r>
        <w:rPr>
          <w:szCs w:val="21"/>
        </w:rPr>
        <w:t>表</w:t>
      </w:r>
      <w:r>
        <w:rPr>
          <w:szCs w:val="21"/>
        </w:rPr>
        <w:t xml:space="preserve">1 </w:t>
      </w:r>
      <w:r>
        <w:rPr>
          <w:szCs w:val="21"/>
        </w:rPr>
        <w:t>浸出工艺和质量参数</w:t>
      </w:r>
    </w:p>
    <w:tbl>
      <w:tblPr>
        <w:tblW w:w="73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36"/>
        <w:gridCol w:w="2436"/>
        <w:gridCol w:w="2436"/>
      </w:tblGrid>
      <w:tr w:rsidR="00BF4EFC">
        <w:trPr>
          <w:jc w:val="center"/>
        </w:trPr>
        <w:tc>
          <w:tcPr>
            <w:tcW w:w="2436" w:type="dxa"/>
          </w:tcPr>
          <w:p w:rsidR="00BF4EFC" w:rsidRDefault="00A94BE9">
            <w:pPr>
              <w:adjustRightInd w:val="0"/>
              <w:snapToGrid w:val="0"/>
              <w:spacing w:line="360" w:lineRule="auto"/>
              <w:ind w:firstLineChars="200" w:firstLine="420"/>
              <w:jc w:val="center"/>
              <w:rPr>
                <w:szCs w:val="21"/>
              </w:rPr>
            </w:pPr>
            <w:r>
              <w:rPr>
                <w:szCs w:val="21"/>
              </w:rPr>
              <w:t>毛油残溶（</w:t>
            </w:r>
            <w:proofErr w:type="spellStart"/>
            <w:r>
              <w:rPr>
                <w:szCs w:val="21"/>
              </w:rPr>
              <w:t>ppm</w:t>
            </w:r>
            <w:proofErr w:type="spellEnd"/>
            <w:r>
              <w:rPr>
                <w:szCs w:val="21"/>
              </w:rPr>
              <w:t>）</w:t>
            </w:r>
          </w:p>
        </w:tc>
        <w:tc>
          <w:tcPr>
            <w:tcW w:w="2436" w:type="dxa"/>
          </w:tcPr>
          <w:p w:rsidR="00BF4EFC" w:rsidRDefault="00A94BE9">
            <w:pPr>
              <w:adjustRightInd w:val="0"/>
              <w:snapToGrid w:val="0"/>
              <w:spacing w:line="360" w:lineRule="auto"/>
              <w:ind w:firstLineChars="200" w:firstLine="420"/>
              <w:jc w:val="center"/>
              <w:rPr>
                <w:szCs w:val="21"/>
              </w:rPr>
            </w:pPr>
            <w:r>
              <w:rPr>
                <w:szCs w:val="21"/>
              </w:rPr>
              <w:t>成品</w:t>
            </w:r>
            <w:proofErr w:type="gramStart"/>
            <w:r>
              <w:rPr>
                <w:szCs w:val="21"/>
              </w:rPr>
              <w:t>粕</w:t>
            </w:r>
            <w:proofErr w:type="gramEnd"/>
            <w:r>
              <w:rPr>
                <w:szCs w:val="21"/>
              </w:rPr>
              <w:t>残溶（</w:t>
            </w:r>
            <w:proofErr w:type="spellStart"/>
            <w:r>
              <w:rPr>
                <w:szCs w:val="21"/>
              </w:rPr>
              <w:t>ppm</w:t>
            </w:r>
            <w:proofErr w:type="spellEnd"/>
            <w:r>
              <w:rPr>
                <w:szCs w:val="21"/>
              </w:rPr>
              <w:t>）</w:t>
            </w:r>
          </w:p>
        </w:tc>
        <w:tc>
          <w:tcPr>
            <w:tcW w:w="2436" w:type="dxa"/>
          </w:tcPr>
          <w:p w:rsidR="00BF4EFC" w:rsidRDefault="00A94BE9">
            <w:pPr>
              <w:adjustRightInd w:val="0"/>
              <w:snapToGrid w:val="0"/>
              <w:spacing w:line="360" w:lineRule="auto"/>
              <w:ind w:firstLineChars="200" w:firstLine="420"/>
              <w:jc w:val="center"/>
              <w:rPr>
                <w:szCs w:val="21"/>
              </w:rPr>
            </w:pPr>
            <w:proofErr w:type="gramStart"/>
            <w:r>
              <w:rPr>
                <w:szCs w:val="21"/>
              </w:rPr>
              <w:t>粕</w:t>
            </w:r>
            <w:proofErr w:type="gramEnd"/>
            <w:r>
              <w:rPr>
                <w:szCs w:val="21"/>
              </w:rPr>
              <w:t>中残油（</w:t>
            </w:r>
            <w:r>
              <w:rPr>
                <w:szCs w:val="21"/>
              </w:rPr>
              <w:t>%</w:t>
            </w:r>
            <w:r>
              <w:rPr>
                <w:szCs w:val="21"/>
              </w:rPr>
              <w:t>）</w:t>
            </w:r>
          </w:p>
        </w:tc>
      </w:tr>
      <w:tr w:rsidR="00BF4EFC">
        <w:trPr>
          <w:jc w:val="center"/>
        </w:trPr>
        <w:tc>
          <w:tcPr>
            <w:tcW w:w="2436" w:type="dxa"/>
          </w:tcPr>
          <w:p w:rsidR="00BF4EFC" w:rsidRDefault="00A94BE9">
            <w:pPr>
              <w:adjustRightInd w:val="0"/>
              <w:snapToGrid w:val="0"/>
              <w:spacing w:line="360" w:lineRule="auto"/>
              <w:ind w:firstLineChars="200" w:firstLine="4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≤</w:t>
            </w:r>
            <w:r>
              <w:rPr>
                <w:szCs w:val="21"/>
              </w:rPr>
              <w:t>100</w:t>
            </w:r>
          </w:p>
        </w:tc>
        <w:tc>
          <w:tcPr>
            <w:tcW w:w="2436" w:type="dxa"/>
          </w:tcPr>
          <w:p w:rsidR="00BF4EFC" w:rsidRDefault="00A94BE9">
            <w:pPr>
              <w:adjustRightInd w:val="0"/>
              <w:snapToGrid w:val="0"/>
              <w:spacing w:line="360" w:lineRule="auto"/>
              <w:ind w:firstLineChars="200" w:firstLine="4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≤</w:t>
            </w:r>
            <w:r>
              <w:rPr>
                <w:szCs w:val="21"/>
              </w:rPr>
              <w:t>500</w:t>
            </w:r>
          </w:p>
        </w:tc>
        <w:tc>
          <w:tcPr>
            <w:tcW w:w="2436" w:type="dxa"/>
          </w:tcPr>
          <w:p w:rsidR="00BF4EFC" w:rsidRDefault="00A94BE9">
            <w:pPr>
              <w:adjustRightInd w:val="0"/>
              <w:snapToGrid w:val="0"/>
              <w:spacing w:line="360" w:lineRule="auto"/>
              <w:ind w:firstLineChars="200" w:firstLine="4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≤</w:t>
            </w:r>
            <w:r>
              <w:rPr>
                <w:szCs w:val="21"/>
              </w:rPr>
              <w:t>1</w:t>
            </w:r>
          </w:p>
        </w:tc>
      </w:tr>
    </w:tbl>
    <w:p w:rsidR="00BF4EFC" w:rsidRDefault="00A94BE9">
      <w:pPr>
        <w:adjustRightInd w:val="0"/>
        <w:snapToGrid w:val="0"/>
        <w:spacing w:line="360" w:lineRule="auto"/>
        <w:rPr>
          <w:rFonts w:eastAsia="黑体"/>
          <w:kern w:val="21"/>
          <w:szCs w:val="21"/>
        </w:rPr>
      </w:pPr>
      <w:r>
        <w:rPr>
          <w:rFonts w:eastAsia="黑体"/>
          <w:kern w:val="21"/>
          <w:szCs w:val="21"/>
        </w:rPr>
        <w:t>7.2</w:t>
      </w:r>
      <w:r>
        <w:rPr>
          <w:rFonts w:eastAsia="黑体" w:hint="eastAsia"/>
          <w:kern w:val="21"/>
          <w:szCs w:val="21"/>
        </w:rPr>
        <w:t xml:space="preserve">  </w:t>
      </w:r>
      <w:proofErr w:type="gramStart"/>
      <w:r>
        <w:rPr>
          <w:rFonts w:eastAsia="黑体"/>
          <w:kern w:val="21"/>
          <w:szCs w:val="21"/>
        </w:rPr>
        <w:t>菜籽油</w:t>
      </w:r>
      <w:proofErr w:type="gramEnd"/>
      <w:r>
        <w:rPr>
          <w:rFonts w:eastAsia="黑体"/>
          <w:kern w:val="21"/>
          <w:szCs w:val="21"/>
        </w:rPr>
        <w:t>精炼操作要点</w:t>
      </w:r>
    </w:p>
    <w:p w:rsidR="00BF4EFC" w:rsidRDefault="00A94BE9">
      <w:pPr>
        <w:adjustRightInd w:val="0"/>
        <w:snapToGrid w:val="0"/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7.2.1</w:t>
      </w:r>
      <w:r>
        <w:rPr>
          <w:rFonts w:eastAsia="黑体" w:hint="eastAsia"/>
          <w:szCs w:val="21"/>
        </w:rPr>
        <w:t xml:space="preserve"> </w:t>
      </w:r>
      <w:r>
        <w:rPr>
          <w:rFonts w:eastAsia="黑体"/>
          <w:szCs w:val="21"/>
        </w:rPr>
        <w:t>除杂</w:t>
      </w:r>
    </w:p>
    <w:p w:rsidR="00BF4EFC" w:rsidRDefault="00A94BE9">
      <w:pPr>
        <w:adjustRightInd w:val="0"/>
        <w:snapToGrid w:val="0"/>
        <w:spacing w:line="360" w:lineRule="auto"/>
        <w:ind w:firstLineChars="200" w:firstLine="420"/>
        <w:jc w:val="left"/>
        <w:rPr>
          <w:rFonts w:eastAsia="黑体"/>
          <w:szCs w:val="21"/>
        </w:rPr>
      </w:pPr>
      <w:r>
        <w:rPr>
          <w:szCs w:val="21"/>
        </w:rPr>
        <w:t>采用沉降、过滤、离心分离等物理方法，要求经过物理方法处理的菜籽毛油含机械杂质＜</w:t>
      </w:r>
      <w:r>
        <w:rPr>
          <w:szCs w:val="21"/>
        </w:rPr>
        <w:t>0.2%</w:t>
      </w:r>
      <w:r>
        <w:rPr>
          <w:szCs w:val="21"/>
        </w:rPr>
        <w:t>，水分及挥发物＜</w:t>
      </w:r>
      <w:r>
        <w:rPr>
          <w:szCs w:val="21"/>
        </w:rPr>
        <w:t>0.5%</w:t>
      </w:r>
      <w:r>
        <w:rPr>
          <w:szCs w:val="21"/>
        </w:rPr>
        <w:t>。</w:t>
      </w:r>
      <w:r>
        <w:rPr>
          <w:szCs w:val="21"/>
        </w:rPr>
        <w:br/>
      </w:r>
      <w:r>
        <w:rPr>
          <w:rFonts w:eastAsia="黑体"/>
          <w:szCs w:val="21"/>
        </w:rPr>
        <w:t>7.2.2</w:t>
      </w:r>
      <w:r>
        <w:rPr>
          <w:rFonts w:eastAsia="黑体" w:hint="eastAsia"/>
          <w:szCs w:val="21"/>
        </w:rPr>
        <w:t xml:space="preserve"> </w:t>
      </w:r>
      <w:r>
        <w:rPr>
          <w:rFonts w:eastAsia="黑体"/>
          <w:szCs w:val="21"/>
        </w:rPr>
        <w:t>脱胶</w:t>
      </w:r>
    </w:p>
    <w:p w:rsidR="00BF4EFC" w:rsidRDefault="00A94BE9">
      <w:pPr>
        <w:adjustRightInd w:val="0"/>
        <w:snapToGrid w:val="0"/>
        <w:spacing w:line="360" w:lineRule="auto"/>
        <w:ind w:firstLineChars="200" w:firstLine="420"/>
        <w:jc w:val="left"/>
        <w:rPr>
          <w:rFonts w:eastAsia="黑体"/>
          <w:szCs w:val="21"/>
        </w:rPr>
      </w:pPr>
      <w:r>
        <w:rPr>
          <w:szCs w:val="21"/>
        </w:rPr>
        <w:t>脱除毛油中的磷脂、黏液质、树脂、蛋白质、糖类、微量金属等。采用水化脱胶法，将油加热至</w:t>
      </w:r>
      <w:r>
        <w:rPr>
          <w:szCs w:val="21"/>
        </w:rPr>
        <w:t>85℃</w:t>
      </w:r>
      <w:r>
        <w:rPr>
          <w:szCs w:val="21"/>
        </w:rPr>
        <w:t>后再加</w:t>
      </w:r>
      <w:r>
        <w:rPr>
          <w:szCs w:val="21"/>
        </w:rPr>
        <w:t>85%</w:t>
      </w:r>
      <w:r>
        <w:rPr>
          <w:szCs w:val="21"/>
        </w:rPr>
        <w:t>的磷酸（加磷酸量为毛油的</w:t>
      </w:r>
      <w:r>
        <w:rPr>
          <w:szCs w:val="21"/>
        </w:rPr>
        <w:t>0.1%~0.15%</w:t>
      </w:r>
      <w:r>
        <w:rPr>
          <w:szCs w:val="21"/>
        </w:rPr>
        <w:t>），从而将油中的非水化磷脂转化为水化磷脂，达到脱胶的目的。</w:t>
      </w:r>
      <w:r>
        <w:rPr>
          <w:szCs w:val="21"/>
        </w:rPr>
        <w:br/>
      </w:r>
      <w:r>
        <w:rPr>
          <w:rFonts w:eastAsia="黑体"/>
          <w:szCs w:val="21"/>
        </w:rPr>
        <w:t>7.2.3</w:t>
      </w:r>
      <w:r>
        <w:rPr>
          <w:rFonts w:eastAsia="黑体" w:hint="eastAsia"/>
          <w:szCs w:val="21"/>
        </w:rPr>
        <w:t xml:space="preserve"> </w:t>
      </w:r>
      <w:r>
        <w:rPr>
          <w:rFonts w:eastAsia="黑体"/>
          <w:szCs w:val="21"/>
        </w:rPr>
        <w:t>脱酸</w:t>
      </w:r>
    </w:p>
    <w:p w:rsidR="00BF4EFC" w:rsidRDefault="00A94BE9">
      <w:pPr>
        <w:adjustRightInd w:val="0"/>
        <w:snapToGrid w:val="0"/>
        <w:spacing w:line="360" w:lineRule="auto"/>
        <w:ind w:firstLineChars="200" w:firstLine="420"/>
        <w:jc w:val="left"/>
        <w:rPr>
          <w:rFonts w:eastAsia="黑体"/>
          <w:color w:val="000000"/>
          <w:szCs w:val="21"/>
        </w:rPr>
      </w:pPr>
      <w:r>
        <w:rPr>
          <w:color w:val="000000"/>
          <w:szCs w:val="21"/>
        </w:rPr>
        <w:t>用碱炼脱酸，脱除油中的游离脂肪酸、酸性色素、硫化物、油不溶性杂质等。使用浓度为</w:t>
      </w:r>
      <w:r>
        <w:rPr>
          <w:color w:val="000000"/>
          <w:szCs w:val="21"/>
        </w:rPr>
        <w:t>11%~13%</w:t>
      </w:r>
      <w:r>
        <w:rPr>
          <w:color w:val="000000"/>
          <w:szCs w:val="21"/>
        </w:rPr>
        <w:t>的</w:t>
      </w:r>
      <w:proofErr w:type="spellStart"/>
      <w:r>
        <w:rPr>
          <w:color w:val="000000"/>
          <w:szCs w:val="21"/>
        </w:rPr>
        <w:t>NaOH</w:t>
      </w:r>
      <w:proofErr w:type="spellEnd"/>
      <w:r>
        <w:rPr>
          <w:color w:val="000000"/>
          <w:szCs w:val="21"/>
        </w:rPr>
        <w:t>溶液，通过测定油的酸价对加碱量进行预估，然后计算碱液的用量。建议采用连续式生产方式。将碱液缓慢加入，油温控制在</w:t>
      </w:r>
      <w:r>
        <w:rPr>
          <w:color w:val="000000"/>
          <w:szCs w:val="21"/>
        </w:rPr>
        <w:t>85℃~90℃</w:t>
      </w:r>
      <w:r>
        <w:rPr>
          <w:color w:val="000000"/>
          <w:szCs w:val="21"/>
        </w:rPr>
        <w:t>，保持</w:t>
      </w:r>
      <w:r>
        <w:rPr>
          <w:color w:val="000000"/>
          <w:szCs w:val="21"/>
        </w:rPr>
        <w:t>8min~12min</w:t>
      </w:r>
      <w:r>
        <w:rPr>
          <w:color w:val="000000"/>
          <w:szCs w:val="21"/>
        </w:rPr>
        <w:t>。之后再采用离心分离的方法（</w:t>
      </w:r>
      <w:r>
        <w:rPr>
          <w:color w:val="000000"/>
          <w:szCs w:val="21"/>
        </w:rPr>
        <w:t>3200r/min</w: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t>10min</w:t>
      </w:r>
      <w:r>
        <w:rPr>
          <w:color w:val="000000"/>
          <w:szCs w:val="21"/>
        </w:rPr>
        <w:t>）</w:t>
      </w:r>
      <w:proofErr w:type="gramStart"/>
      <w:r>
        <w:rPr>
          <w:color w:val="000000"/>
          <w:szCs w:val="21"/>
        </w:rPr>
        <w:t>去除皂脚等</w:t>
      </w:r>
      <w:proofErr w:type="gramEnd"/>
      <w:r>
        <w:rPr>
          <w:color w:val="000000"/>
          <w:szCs w:val="21"/>
        </w:rPr>
        <w:t>物质。</w:t>
      </w:r>
      <w:r>
        <w:rPr>
          <w:color w:val="000000"/>
          <w:szCs w:val="21"/>
        </w:rPr>
        <w:br/>
      </w:r>
      <w:r>
        <w:rPr>
          <w:rFonts w:eastAsia="黑体"/>
          <w:color w:val="000000"/>
          <w:szCs w:val="21"/>
        </w:rPr>
        <w:t>7.2.4</w:t>
      </w:r>
      <w:r>
        <w:rPr>
          <w:rFonts w:eastAsia="黑体" w:hint="eastAsia"/>
          <w:color w:val="000000"/>
          <w:szCs w:val="21"/>
        </w:rPr>
        <w:t xml:space="preserve"> </w:t>
      </w:r>
      <w:r>
        <w:rPr>
          <w:rFonts w:eastAsia="黑体"/>
          <w:color w:val="000000"/>
          <w:szCs w:val="21"/>
        </w:rPr>
        <w:t>水洗、干燥</w:t>
      </w:r>
    </w:p>
    <w:p w:rsidR="00BF4EFC" w:rsidRDefault="00A94BE9">
      <w:pPr>
        <w:adjustRightInd w:val="0"/>
        <w:snapToGrid w:val="0"/>
        <w:spacing w:line="360" w:lineRule="auto"/>
        <w:ind w:firstLineChars="200" w:firstLine="420"/>
        <w:jc w:val="left"/>
        <w:rPr>
          <w:rFonts w:eastAsia="黑体"/>
          <w:szCs w:val="21"/>
        </w:rPr>
      </w:pPr>
      <w:r>
        <w:rPr>
          <w:color w:val="000000"/>
          <w:szCs w:val="21"/>
        </w:rPr>
        <w:t>水洗洗去残留于碱炼油中</w:t>
      </w:r>
      <w:proofErr w:type="gramStart"/>
      <w:r>
        <w:rPr>
          <w:color w:val="000000"/>
          <w:szCs w:val="21"/>
        </w:rPr>
        <w:t>的皂脚与</w:t>
      </w:r>
      <w:proofErr w:type="gramEnd"/>
      <w:r>
        <w:rPr>
          <w:color w:val="000000"/>
          <w:szCs w:val="21"/>
        </w:rPr>
        <w:t>水溶性杂质，干燥用</w:t>
      </w:r>
      <w:r>
        <w:rPr>
          <w:szCs w:val="21"/>
        </w:rPr>
        <w:t>加热、真空干燥法，脱除精炼后油中的水分。将离心上层油加热到</w:t>
      </w:r>
      <w:r>
        <w:rPr>
          <w:szCs w:val="21"/>
        </w:rPr>
        <w:t>80℃~85℃</w:t>
      </w:r>
      <w:r>
        <w:rPr>
          <w:szCs w:val="21"/>
        </w:rPr>
        <w:t>，同时将去离子软水加热至微沸，按离心油质量的</w:t>
      </w:r>
      <w:r>
        <w:rPr>
          <w:szCs w:val="21"/>
        </w:rPr>
        <w:t>5%~10%</w:t>
      </w:r>
      <w:r>
        <w:rPr>
          <w:szCs w:val="21"/>
        </w:rPr>
        <w:t>加入油中，水洗约</w:t>
      </w:r>
      <w:r>
        <w:rPr>
          <w:color w:val="000000"/>
          <w:szCs w:val="21"/>
        </w:rPr>
        <w:t>2min~4min</w:t>
      </w:r>
      <w:r>
        <w:rPr>
          <w:szCs w:val="21"/>
        </w:rPr>
        <w:t>，可以进一步脱去原油中残余</w:t>
      </w:r>
      <w:proofErr w:type="gramStart"/>
      <w:r>
        <w:rPr>
          <w:szCs w:val="21"/>
        </w:rPr>
        <w:t>的皂脚和</w:t>
      </w:r>
      <w:proofErr w:type="gramEnd"/>
      <w:r>
        <w:rPr>
          <w:szCs w:val="21"/>
        </w:rPr>
        <w:t>磷脂然后在真空和加热（</w:t>
      </w:r>
      <w:r>
        <w:rPr>
          <w:szCs w:val="21"/>
        </w:rPr>
        <w:t>10</w:t>
      </w:r>
      <w:r>
        <w:rPr>
          <w:color w:val="000000"/>
          <w:szCs w:val="21"/>
        </w:rPr>
        <w:t>5℃~110℃</w:t>
      </w:r>
      <w:r>
        <w:rPr>
          <w:szCs w:val="21"/>
        </w:rPr>
        <w:t>）条件下进行脱水，</w:t>
      </w:r>
      <w:proofErr w:type="gramStart"/>
      <w:r>
        <w:rPr>
          <w:szCs w:val="21"/>
        </w:rPr>
        <w:t>干燥至</w:t>
      </w:r>
      <w:proofErr w:type="gramEnd"/>
      <w:r>
        <w:rPr>
          <w:szCs w:val="21"/>
        </w:rPr>
        <w:t>含水量</w:t>
      </w:r>
      <w:r>
        <w:rPr>
          <w:rFonts w:hint="eastAsia"/>
          <w:szCs w:val="21"/>
        </w:rPr>
        <w:t>≤</w:t>
      </w:r>
      <w:r>
        <w:rPr>
          <w:szCs w:val="21"/>
        </w:rPr>
        <w:t>0.10%</w:t>
      </w:r>
      <w:r>
        <w:rPr>
          <w:szCs w:val="21"/>
        </w:rPr>
        <w:t>。</w:t>
      </w:r>
      <w:r>
        <w:rPr>
          <w:szCs w:val="21"/>
        </w:rPr>
        <w:br/>
      </w:r>
      <w:r>
        <w:rPr>
          <w:rFonts w:eastAsia="黑体"/>
          <w:szCs w:val="21"/>
        </w:rPr>
        <w:t>7.2.5</w:t>
      </w:r>
      <w:r>
        <w:rPr>
          <w:rFonts w:eastAsia="黑体" w:hint="eastAsia"/>
          <w:szCs w:val="21"/>
        </w:rPr>
        <w:t xml:space="preserve"> </w:t>
      </w:r>
      <w:r>
        <w:rPr>
          <w:rFonts w:eastAsia="黑体"/>
          <w:szCs w:val="21"/>
        </w:rPr>
        <w:t>脱色</w:t>
      </w:r>
    </w:p>
    <w:p w:rsidR="00BF4EFC" w:rsidRDefault="00A94BE9">
      <w:pPr>
        <w:adjustRightInd w:val="0"/>
        <w:snapToGrid w:val="0"/>
        <w:spacing w:line="360" w:lineRule="auto"/>
        <w:ind w:firstLineChars="200" w:firstLine="420"/>
        <w:rPr>
          <w:rFonts w:eastAsia="黑体"/>
          <w:szCs w:val="21"/>
        </w:rPr>
      </w:pPr>
      <w:r>
        <w:rPr>
          <w:szCs w:val="21"/>
        </w:rPr>
        <w:t>采</w:t>
      </w:r>
      <w:r>
        <w:rPr>
          <w:color w:val="000000"/>
          <w:szCs w:val="21"/>
        </w:rPr>
        <w:t>用活性白土、活性炭等吸附剂，脱除油中的各种色素、胶质、氧化物等。在常压条件下，加热原油至油温为</w:t>
      </w:r>
      <w:r>
        <w:rPr>
          <w:color w:val="000000"/>
          <w:szCs w:val="21"/>
        </w:rPr>
        <w:t>110℃~120℃</w:t>
      </w:r>
      <w:r>
        <w:rPr>
          <w:color w:val="000000"/>
          <w:szCs w:val="21"/>
        </w:rPr>
        <w:t>，再往油中添加白土（</w:t>
      </w:r>
      <w:r>
        <w:rPr>
          <w:color w:val="000000"/>
          <w:szCs w:val="21"/>
        </w:rPr>
        <w:t>1.5%~4%</w:t>
      </w:r>
      <w:r>
        <w:rPr>
          <w:color w:val="000000"/>
          <w:szCs w:val="21"/>
        </w:rPr>
        <w:t>）和所加白土量的</w:t>
      </w:r>
      <w:r>
        <w:rPr>
          <w:color w:val="000000"/>
          <w:szCs w:val="21"/>
        </w:rPr>
        <w:t>0.2%~2%</w:t>
      </w:r>
      <w:r>
        <w:rPr>
          <w:color w:val="000000"/>
          <w:szCs w:val="21"/>
        </w:rPr>
        <w:t>的活性炭，保持</w:t>
      </w:r>
      <w:r>
        <w:rPr>
          <w:color w:val="000000"/>
          <w:szCs w:val="21"/>
        </w:rPr>
        <w:t>15min~25min</w:t>
      </w:r>
      <w:r>
        <w:rPr>
          <w:color w:val="000000"/>
          <w:szCs w:val="21"/>
        </w:rPr>
        <w:t>。</w:t>
      </w:r>
      <w:r>
        <w:rPr>
          <w:color w:val="000000"/>
          <w:szCs w:val="21"/>
        </w:rPr>
        <w:br/>
      </w:r>
      <w:r>
        <w:rPr>
          <w:rFonts w:eastAsia="黑体"/>
          <w:szCs w:val="21"/>
        </w:rPr>
        <w:t>7.2.6</w:t>
      </w:r>
      <w:r>
        <w:rPr>
          <w:rFonts w:eastAsia="黑体" w:hint="eastAsia"/>
          <w:szCs w:val="21"/>
        </w:rPr>
        <w:t xml:space="preserve"> </w:t>
      </w:r>
      <w:r>
        <w:rPr>
          <w:rFonts w:eastAsia="黑体"/>
          <w:szCs w:val="21"/>
        </w:rPr>
        <w:t>脱臭</w:t>
      </w:r>
    </w:p>
    <w:p w:rsidR="00BF4EFC" w:rsidRDefault="00A94BE9">
      <w:pPr>
        <w:adjustRightInd w:val="0"/>
        <w:snapToGrid w:val="0"/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采用真空汽提原理，脱除油中的低分子臭味物质、游离脂肪酸、单甘酯、甘二酯、硫化物以及色素热分解产物等。将油温控制在</w:t>
      </w:r>
      <w:r>
        <w:rPr>
          <w:szCs w:val="21"/>
        </w:rPr>
        <w:t>240℃~250℃</w:t>
      </w:r>
      <w:r>
        <w:rPr>
          <w:szCs w:val="21"/>
        </w:rPr>
        <w:t>的真空条件下进行，利用直接蒸汽汽提脱除油脂中的臭味，整个过程</w:t>
      </w:r>
      <w:r>
        <w:rPr>
          <w:szCs w:val="21"/>
        </w:rPr>
        <w:t>1h~2h</w:t>
      </w:r>
      <w:r>
        <w:rPr>
          <w:szCs w:val="21"/>
        </w:rPr>
        <w:t>左右。采用的方法有间歇式和连续式两种，后者采用居多。</w:t>
      </w:r>
    </w:p>
    <w:p w:rsidR="00BF4EFC" w:rsidRDefault="00A94BE9" w:rsidP="00091C3B">
      <w:pPr>
        <w:adjustRightInd w:val="0"/>
        <w:snapToGrid w:val="0"/>
        <w:spacing w:line="360" w:lineRule="auto"/>
        <w:outlineLvl w:val="0"/>
        <w:rPr>
          <w:rFonts w:ascii="黑体" w:eastAsia="黑体"/>
          <w:szCs w:val="21"/>
        </w:rPr>
      </w:pPr>
      <w:r>
        <w:rPr>
          <w:rFonts w:ascii="黑体" w:eastAsia="黑体" w:hint="eastAsia"/>
          <w:szCs w:val="21"/>
        </w:rPr>
        <w:t>7.3 编制批号或编号</w:t>
      </w:r>
    </w:p>
    <w:p w:rsidR="00BF4EFC" w:rsidRDefault="00A94BE9">
      <w:pPr>
        <w:pStyle w:val="1"/>
        <w:adjustRightInd w:val="0"/>
        <w:snapToGrid w:val="0"/>
        <w:spacing w:line="360" w:lineRule="auto"/>
        <w:contextualSpacing/>
      </w:pPr>
      <w:r>
        <w:rPr>
          <w:rFonts w:hint="eastAsia"/>
        </w:rPr>
        <w:t>每批次加工产品应编制加工批号或编号，批号或编号一直延用</w:t>
      </w:r>
      <w:proofErr w:type="gramStart"/>
      <w:r>
        <w:rPr>
          <w:rFonts w:hint="eastAsia"/>
        </w:rPr>
        <w:t>至产品</w:t>
      </w:r>
      <w:proofErr w:type="gramEnd"/>
      <w:r>
        <w:rPr>
          <w:rFonts w:hint="eastAsia"/>
        </w:rPr>
        <w:t>销售终端。</w:t>
      </w:r>
    </w:p>
    <w:p w:rsidR="00BF4EFC" w:rsidRDefault="00A94BE9" w:rsidP="00091C3B">
      <w:pPr>
        <w:adjustRightInd w:val="0"/>
        <w:snapToGrid w:val="0"/>
        <w:spacing w:line="360" w:lineRule="auto"/>
        <w:outlineLvl w:val="0"/>
        <w:rPr>
          <w:rFonts w:ascii="黑体" w:eastAsia="黑体"/>
          <w:szCs w:val="21"/>
        </w:rPr>
      </w:pPr>
      <w:r>
        <w:rPr>
          <w:rFonts w:ascii="黑体" w:eastAsia="黑体" w:hint="eastAsia"/>
          <w:szCs w:val="21"/>
        </w:rPr>
        <w:t>7.4 检验</w:t>
      </w:r>
    </w:p>
    <w:p w:rsidR="00BF4EFC" w:rsidRDefault="00A94BE9">
      <w:pPr>
        <w:pStyle w:val="1"/>
        <w:adjustRightInd w:val="0"/>
        <w:snapToGrid w:val="0"/>
        <w:spacing w:line="360" w:lineRule="auto"/>
        <w:contextualSpacing/>
      </w:pPr>
      <w:r>
        <w:rPr>
          <w:rFonts w:hint="eastAsia"/>
        </w:rPr>
        <w:t>产品</w:t>
      </w:r>
      <w:proofErr w:type="gramStart"/>
      <w:r>
        <w:rPr>
          <w:rFonts w:hint="eastAsia"/>
        </w:rPr>
        <w:t>抽样按</w:t>
      </w:r>
      <w:proofErr w:type="gramEnd"/>
      <w:r>
        <w:rPr>
          <w:rFonts w:hint="eastAsia"/>
        </w:rPr>
        <w:t>NY/T 896</w:t>
      </w:r>
      <w:r>
        <w:rPr>
          <w:rFonts w:hint="eastAsia"/>
        </w:rPr>
        <w:t>执行，产品检验</w:t>
      </w:r>
      <w:r>
        <w:rPr>
          <w:rFonts w:hAnsi="宋体"/>
        </w:rPr>
        <w:t>应符合</w:t>
      </w:r>
      <w:r>
        <w:rPr>
          <w:rFonts w:hAnsi="宋体"/>
        </w:rPr>
        <w:t>NY/T 1055</w:t>
      </w:r>
      <w:r>
        <w:rPr>
          <w:rFonts w:hAnsi="宋体" w:hint="eastAsia"/>
        </w:rPr>
        <w:t>、</w:t>
      </w:r>
      <w:r>
        <w:rPr>
          <w:rFonts w:hAnsi="宋体" w:hint="eastAsia"/>
        </w:rPr>
        <w:t>GB 2716</w:t>
      </w:r>
      <w:r>
        <w:rPr>
          <w:rFonts w:hAnsi="宋体" w:hint="eastAsia"/>
        </w:rPr>
        <w:t>、</w:t>
      </w:r>
      <w:r>
        <w:rPr>
          <w:kern w:val="21"/>
        </w:rPr>
        <w:t>NY/T 751</w:t>
      </w:r>
      <w:r>
        <w:rPr>
          <w:rFonts w:hAnsi="宋体"/>
        </w:rPr>
        <w:t>的要求</w:t>
      </w:r>
      <w:r>
        <w:rPr>
          <w:rFonts w:hAnsi="宋体" w:hint="eastAsia"/>
        </w:rPr>
        <w:t>。</w:t>
      </w:r>
    </w:p>
    <w:p w:rsidR="00BF4EFC" w:rsidRDefault="00A94BE9">
      <w:pPr>
        <w:pStyle w:val="1"/>
        <w:kinsoku w:val="0"/>
        <w:overflowPunct w:val="0"/>
        <w:adjustRightInd w:val="0"/>
        <w:snapToGrid w:val="0"/>
        <w:spacing w:line="360" w:lineRule="auto"/>
        <w:ind w:firstLineChars="0" w:firstLine="0"/>
        <w:contextualSpacing/>
      </w:pPr>
      <w:r>
        <w:rPr>
          <w:rFonts w:eastAsia="黑体"/>
        </w:rPr>
        <w:t>8</w:t>
      </w:r>
      <w:r>
        <w:rPr>
          <w:rFonts w:eastAsia="黑体" w:hint="eastAsia"/>
        </w:rPr>
        <w:t xml:space="preserve">  </w:t>
      </w:r>
      <w:r>
        <w:rPr>
          <w:rFonts w:eastAsia="黑体"/>
        </w:rPr>
        <w:t>包装、运输与贮存</w:t>
      </w:r>
    </w:p>
    <w:p w:rsidR="00BF4EFC" w:rsidRDefault="00A94BE9">
      <w:pPr>
        <w:kinsoku w:val="0"/>
        <w:overflowPunct w:val="0"/>
        <w:adjustRightInd w:val="0"/>
        <w:snapToGrid w:val="0"/>
        <w:spacing w:line="360" w:lineRule="auto"/>
        <w:rPr>
          <w:rFonts w:eastAsia="黑体"/>
          <w:kern w:val="21"/>
          <w:szCs w:val="21"/>
        </w:rPr>
      </w:pPr>
      <w:r>
        <w:rPr>
          <w:rFonts w:eastAsia="黑体"/>
          <w:kern w:val="21"/>
          <w:szCs w:val="21"/>
        </w:rPr>
        <w:t>8.1</w:t>
      </w:r>
      <w:r>
        <w:rPr>
          <w:rFonts w:eastAsia="黑体" w:hint="eastAsia"/>
          <w:kern w:val="21"/>
          <w:szCs w:val="21"/>
        </w:rPr>
        <w:t xml:space="preserve">  </w:t>
      </w:r>
      <w:r>
        <w:rPr>
          <w:rFonts w:eastAsia="黑体"/>
          <w:kern w:val="21"/>
          <w:szCs w:val="21"/>
        </w:rPr>
        <w:t>包装</w:t>
      </w:r>
    </w:p>
    <w:p w:rsidR="00BF4EFC" w:rsidRDefault="00A94BE9">
      <w:pPr>
        <w:kinsoku w:val="0"/>
        <w:overflowPunct w:val="0"/>
        <w:adjustRightInd w:val="0"/>
        <w:snapToGrid w:val="0"/>
        <w:spacing w:line="360" w:lineRule="auto"/>
        <w:ind w:firstLineChars="200" w:firstLine="420"/>
        <w:rPr>
          <w:kern w:val="21"/>
          <w:szCs w:val="21"/>
        </w:rPr>
      </w:pPr>
      <w:r>
        <w:rPr>
          <w:rFonts w:ascii="宋体" w:hAnsi="宋体" w:cs="宋体" w:hint="eastAsia"/>
          <w:kern w:val="21"/>
          <w:szCs w:val="21"/>
        </w:rPr>
        <w:t>精炼</w:t>
      </w:r>
      <w:proofErr w:type="gramStart"/>
      <w:r>
        <w:rPr>
          <w:rFonts w:ascii="宋体" w:hAnsi="宋体" w:cs="宋体" w:hint="eastAsia"/>
          <w:kern w:val="21"/>
          <w:szCs w:val="21"/>
        </w:rPr>
        <w:t>菜籽油</w:t>
      </w:r>
      <w:proofErr w:type="gramEnd"/>
      <w:r>
        <w:rPr>
          <w:rFonts w:ascii="宋体" w:hAnsi="宋体" w:cs="宋体" w:hint="eastAsia"/>
          <w:kern w:val="21"/>
          <w:szCs w:val="21"/>
        </w:rPr>
        <w:t>经</w:t>
      </w:r>
      <w:r>
        <w:rPr>
          <w:kern w:val="21"/>
          <w:szCs w:val="21"/>
        </w:rPr>
        <w:t>检验</w:t>
      </w:r>
      <w:r>
        <w:rPr>
          <w:rFonts w:hint="eastAsia"/>
          <w:kern w:val="21"/>
          <w:szCs w:val="21"/>
        </w:rPr>
        <w:t>合格后</w:t>
      </w:r>
      <w:r>
        <w:rPr>
          <w:kern w:val="21"/>
          <w:szCs w:val="21"/>
        </w:rPr>
        <w:t>对其进行分装、充氮保鲜及包装。包装材料、容器和标志、标签等应符合</w:t>
      </w:r>
      <w:r>
        <w:rPr>
          <w:kern w:val="21"/>
          <w:szCs w:val="21"/>
        </w:rPr>
        <w:t>NY/T 658</w:t>
      </w:r>
      <w:r>
        <w:rPr>
          <w:kern w:val="21"/>
          <w:szCs w:val="21"/>
        </w:rPr>
        <w:t>、</w:t>
      </w:r>
      <w:r>
        <w:rPr>
          <w:kern w:val="21"/>
          <w:szCs w:val="21"/>
        </w:rPr>
        <w:t>GB/T 17374</w:t>
      </w:r>
      <w:r>
        <w:rPr>
          <w:kern w:val="21"/>
          <w:szCs w:val="21"/>
        </w:rPr>
        <w:t>的规定。</w:t>
      </w:r>
    </w:p>
    <w:p w:rsidR="00BF4EFC" w:rsidRDefault="00A94BE9" w:rsidP="00091C3B">
      <w:pPr>
        <w:kinsoku w:val="0"/>
        <w:overflowPunct w:val="0"/>
        <w:adjustRightInd w:val="0"/>
        <w:snapToGrid w:val="0"/>
        <w:spacing w:line="360" w:lineRule="auto"/>
        <w:outlineLvl w:val="0"/>
        <w:rPr>
          <w:rFonts w:eastAsia="黑体"/>
          <w:kern w:val="21"/>
          <w:szCs w:val="21"/>
        </w:rPr>
      </w:pPr>
      <w:r>
        <w:rPr>
          <w:rFonts w:eastAsia="黑体"/>
          <w:kern w:val="21"/>
          <w:szCs w:val="21"/>
        </w:rPr>
        <w:t>8.2</w:t>
      </w:r>
      <w:r>
        <w:rPr>
          <w:rFonts w:eastAsia="黑体" w:hint="eastAsia"/>
          <w:kern w:val="21"/>
          <w:szCs w:val="21"/>
        </w:rPr>
        <w:t xml:space="preserve">  </w:t>
      </w:r>
      <w:r>
        <w:rPr>
          <w:rFonts w:eastAsia="黑体"/>
          <w:kern w:val="21"/>
          <w:szCs w:val="21"/>
        </w:rPr>
        <w:t>运输和储存</w:t>
      </w:r>
    </w:p>
    <w:p w:rsidR="00BF4EFC" w:rsidRDefault="00A94BE9">
      <w:pPr>
        <w:pStyle w:val="1"/>
        <w:overflowPunct w:val="0"/>
        <w:adjustRightInd w:val="0"/>
        <w:snapToGrid w:val="0"/>
        <w:spacing w:line="360" w:lineRule="auto"/>
        <w:contextualSpacing/>
      </w:pPr>
      <w:r>
        <w:t>产品运输、贮存应符合</w:t>
      </w:r>
      <w:r>
        <w:t>NY/T 1056</w:t>
      </w:r>
      <w:r>
        <w:t>的规定。仓库应保持清洁</w:t>
      </w:r>
      <w:r>
        <w:rPr>
          <w:rFonts w:hint="eastAsia"/>
        </w:rPr>
        <w:t>卫生</w:t>
      </w:r>
      <w:r>
        <w:t>，</w:t>
      </w:r>
      <w:r>
        <w:rPr>
          <w:rFonts w:hint="eastAsia"/>
        </w:rPr>
        <w:t>保持</w:t>
      </w:r>
      <w:r>
        <w:t>密封，无空洞，防止虫、</w:t>
      </w:r>
      <w:proofErr w:type="gramStart"/>
      <w:r>
        <w:t>鸟进入</w:t>
      </w:r>
      <w:proofErr w:type="gramEnd"/>
      <w:r>
        <w:t>仓库。仓库</w:t>
      </w:r>
      <w:r>
        <w:rPr>
          <w:rFonts w:hint="eastAsia"/>
        </w:rPr>
        <w:t>应</w:t>
      </w:r>
      <w:r>
        <w:t>要安装适量的粘鼠板防鼠</w:t>
      </w:r>
      <w:r>
        <w:rPr>
          <w:rFonts w:hint="eastAsia"/>
        </w:rPr>
        <w:t>和电子灭虫灯防虫，并及时清洁</w:t>
      </w:r>
      <w:r>
        <w:t>粘鼠板</w:t>
      </w:r>
      <w:r>
        <w:rPr>
          <w:rFonts w:hint="eastAsia"/>
        </w:rPr>
        <w:t>和电子灭虫灯。</w:t>
      </w:r>
      <w:r>
        <w:t>仓库</w:t>
      </w:r>
      <w:r>
        <w:rPr>
          <w:rFonts w:hint="eastAsia"/>
        </w:rPr>
        <w:t>应安装温湿</w:t>
      </w:r>
      <w:proofErr w:type="gramStart"/>
      <w:r>
        <w:rPr>
          <w:rFonts w:hint="eastAsia"/>
        </w:rPr>
        <w:t>度记录</w:t>
      </w:r>
      <w:proofErr w:type="gramEnd"/>
      <w:r>
        <w:rPr>
          <w:rFonts w:hint="eastAsia"/>
        </w:rPr>
        <w:t>表，实时监控库内温湿度，安装除湿机或大功率吹风机，减少潮湿。</w:t>
      </w:r>
    </w:p>
    <w:p w:rsidR="00BF4EFC" w:rsidRDefault="00A94BE9" w:rsidP="00091C3B">
      <w:pPr>
        <w:pStyle w:val="1"/>
        <w:adjustRightInd w:val="0"/>
        <w:snapToGrid w:val="0"/>
        <w:spacing w:line="360" w:lineRule="auto"/>
        <w:ind w:firstLineChars="0" w:firstLine="0"/>
        <w:contextualSpacing/>
        <w:outlineLvl w:val="0"/>
        <w:rPr>
          <w:rFonts w:eastAsia="黑体"/>
        </w:rPr>
      </w:pPr>
      <w:r>
        <w:rPr>
          <w:rFonts w:eastAsia="黑体"/>
        </w:rPr>
        <w:t>9</w:t>
      </w:r>
      <w:r>
        <w:rPr>
          <w:rFonts w:eastAsia="黑体" w:hint="eastAsia"/>
        </w:rPr>
        <w:t xml:space="preserve">  </w:t>
      </w:r>
      <w:r>
        <w:rPr>
          <w:rFonts w:eastAsia="黑体"/>
        </w:rPr>
        <w:t>平行生产管理</w:t>
      </w:r>
    </w:p>
    <w:p w:rsidR="00BF4EFC" w:rsidRDefault="00A94BE9">
      <w:pPr>
        <w:pStyle w:val="1"/>
        <w:adjustRightInd w:val="0"/>
        <w:snapToGrid w:val="0"/>
        <w:spacing w:line="360" w:lineRule="auto"/>
        <w:contextualSpacing/>
        <w:rPr>
          <w:rFonts w:eastAsiaTheme="minorEastAsia"/>
        </w:rPr>
      </w:pPr>
      <w:proofErr w:type="gramStart"/>
      <w:r>
        <w:rPr>
          <w:rFonts w:eastAsiaTheme="minorEastAsia"/>
        </w:rPr>
        <w:t>菜籽油</w:t>
      </w:r>
      <w:proofErr w:type="gramEnd"/>
      <w:r>
        <w:rPr>
          <w:rFonts w:eastAsiaTheme="minorEastAsia"/>
        </w:rPr>
        <w:t>生产企业进行绿色食品和常规产品同时生产时，应对原料选择、运输、加工生产线、成品包装贮运等环节全程有效控制，保证绿色食品生产与常规产品生产的有效隔离。</w:t>
      </w:r>
    </w:p>
    <w:p w:rsidR="00BF4EFC" w:rsidRDefault="00A94BE9">
      <w:pPr>
        <w:pStyle w:val="1"/>
        <w:adjustRightInd w:val="0"/>
        <w:snapToGrid w:val="0"/>
        <w:spacing w:line="360" w:lineRule="auto"/>
        <w:ind w:firstLineChars="0" w:firstLine="0"/>
        <w:contextualSpacing/>
        <w:rPr>
          <w:rFonts w:eastAsia="黑体"/>
        </w:rPr>
      </w:pPr>
      <w:r>
        <w:rPr>
          <w:rFonts w:eastAsia="黑体"/>
        </w:rPr>
        <w:t>9.1</w:t>
      </w:r>
      <w:r>
        <w:rPr>
          <w:rFonts w:eastAsia="黑体" w:hint="eastAsia"/>
        </w:rPr>
        <w:t xml:space="preserve">  </w:t>
      </w:r>
      <w:r>
        <w:rPr>
          <w:rFonts w:eastAsia="黑体"/>
        </w:rPr>
        <w:t>加工过程管理</w:t>
      </w:r>
    </w:p>
    <w:p w:rsidR="00BF4EFC" w:rsidRDefault="00A94BE9">
      <w:pPr>
        <w:pStyle w:val="1"/>
        <w:adjustRightInd w:val="0"/>
        <w:snapToGrid w:val="0"/>
        <w:spacing w:line="360" w:lineRule="auto"/>
        <w:ind w:firstLineChars="0" w:firstLine="0"/>
        <w:contextualSpacing/>
        <w:rPr>
          <w:rFonts w:eastAsiaTheme="minorEastAsia"/>
        </w:rPr>
      </w:pPr>
      <w:r>
        <w:rPr>
          <w:rFonts w:eastAsiaTheme="minorEastAsia"/>
        </w:rPr>
        <w:t>9.1.1</w:t>
      </w:r>
      <w:r>
        <w:rPr>
          <w:rFonts w:eastAsiaTheme="minorEastAsia" w:hint="eastAsia"/>
        </w:rPr>
        <w:t xml:space="preserve"> </w:t>
      </w:r>
      <w:r>
        <w:rPr>
          <w:rFonts w:ascii="黑体" w:eastAsia="黑体" w:hAnsi="黑体" w:cs="黑体" w:hint="eastAsia"/>
        </w:rPr>
        <w:t>加工车间管理</w:t>
      </w:r>
    </w:p>
    <w:p w:rsidR="00BF4EFC" w:rsidRDefault="00A94BE9">
      <w:pPr>
        <w:pStyle w:val="1"/>
        <w:adjustRightInd w:val="0"/>
        <w:snapToGrid w:val="0"/>
        <w:spacing w:line="360" w:lineRule="auto"/>
        <w:contextualSpacing/>
        <w:rPr>
          <w:rFonts w:eastAsiaTheme="minorEastAsia"/>
        </w:rPr>
      </w:pPr>
      <w:r>
        <w:rPr>
          <w:rFonts w:eastAsiaTheme="minorEastAsia"/>
        </w:rPr>
        <w:t>绿色食品油菜籽的加工由专人管理，进行独立的加工生产，避免同时进行绿色食品和常规产品的加工生产，如需同时生产，应优先绿色产品生产加工，每次加工前后应对所使用的容器、工具和设备进行清洗，以防交叉污染。</w:t>
      </w:r>
    </w:p>
    <w:p w:rsidR="00BF4EFC" w:rsidRDefault="00A94BE9" w:rsidP="00091C3B">
      <w:pPr>
        <w:pStyle w:val="1"/>
        <w:adjustRightInd w:val="0"/>
        <w:snapToGrid w:val="0"/>
        <w:spacing w:line="360" w:lineRule="auto"/>
        <w:ind w:firstLineChars="0" w:firstLine="0"/>
        <w:contextualSpacing/>
        <w:outlineLvl w:val="0"/>
        <w:rPr>
          <w:rFonts w:eastAsiaTheme="minorEastAsia"/>
        </w:rPr>
      </w:pPr>
      <w:r>
        <w:rPr>
          <w:rFonts w:eastAsiaTheme="minorEastAsia"/>
        </w:rPr>
        <w:t>9.1.2</w:t>
      </w:r>
      <w:r>
        <w:rPr>
          <w:rFonts w:eastAsiaTheme="minorEastAsia" w:hint="eastAsia"/>
        </w:rPr>
        <w:t xml:space="preserve"> </w:t>
      </w:r>
      <w:r>
        <w:rPr>
          <w:rFonts w:ascii="黑体" w:eastAsia="黑体" w:hAnsi="黑体" w:cs="黑体" w:hint="eastAsia"/>
        </w:rPr>
        <w:t>原料、配料管理</w:t>
      </w:r>
    </w:p>
    <w:p w:rsidR="00BF4EFC" w:rsidRDefault="00A94BE9">
      <w:pPr>
        <w:pStyle w:val="1"/>
        <w:adjustRightInd w:val="0"/>
        <w:snapToGrid w:val="0"/>
        <w:spacing w:line="360" w:lineRule="auto"/>
        <w:contextualSpacing/>
        <w:rPr>
          <w:rFonts w:eastAsiaTheme="minorEastAsia"/>
        </w:rPr>
      </w:pPr>
      <w:r>
        <w:rPr>
          <w:rFonts w:eastAsiaTheme="minorEastAsia"/>
        </w:rPr>
        <w:t>绿色食品和常规产品的加工原料应分开放置，在生产过程使用的加工辅料一致时，按照绿色食品生产要求进行管理，建立完整的出入库记录，明确配料流向。</w:t>
      </w:r>
    </w:p>
    <w:p w:rsidR="00BF4EFC" w:rsidRDefault="00A94BE9">
      <w:pPr>
        <w:pStyle w:val="1"/>
        <w:adjustRightInd w:val="0"/>
        <w:snapToGrid w:val="0"/>
        <w:spacing w:line="360" w:lineRule="auto"/>
        <w:ind w:firstLineChars="0" w:firstLine="0"/>
        <w:contextualSpacing/>
        <w:rPr>
          <w:rFonts w:eastAsia="黑体"/>
        </w:rPr>
      </w:pPr>
      <w:r>
        <w:rPr>
          <w:rFonts w:eastAsia="黑体"/>
        </w:rPr>
        <w:t>9.2</w:t>
      </w:r>
      <w:r>
        <w:rPr>
          <w:rFonts w:eastAsia="黑体" w:hint="eastAsia"/>
        </w:rPr>
        <w:t xml:space="preserve">  </w:t>
      </w:r>
      <w:r>
        <w:rPr>
          <w:rFonts w:eastAsia="黑体"/>
        </w:rPr>
        <w:t>包装、</w:t>
      </w:r>
      <w:r w:rsidR="005538BE">
        <w:rPr>
          <w:rFonts w:eastAsia="黑体" w:hint="eastAsia"/>
        </w:rPr>
        <w:t>储</w:t>
      </w:r>
      <w:r>
        <w:rPr>
          <w:rFonts w:eastAsia="黑体"/>
        </w:rPr>
        <w:t>藏及标识管理</w:t>
      </w:r>
    </w:p>
    <w:p w:rsidR="00BF4EFC" w:rsidRDefault="00A94BE9">
      <w:pPr>
        <w:pStyle w:val="1"/>
        <w:adjustRightInd w:val="0"/>
        <w:snapToGrid w:val="0"/>
        <w:spacing w:line="360" w:lineRule="auto"/>
        <w:ind w:firstLineChars="0" w:firstLine="0"/>
        <w:contextualSpacing/>
        <w:rPr>
          <w:rFonts w:eastAsiaTheme="minorEastAsia"/>
        </w:rPr>
      </w:pPr>
      <w:r>
        <w:rPr>
          <w:rFonts w:eastAsiaTheme="minorEastAsia"/>
        </w:rPr>
        <w:t>9.2.1</w:t>
      </w:r>
      <w:r>
        <w:rPr>
          <w:rFonts w:eastAsiaTheme="minorEastAsia" w:hint="eastAsia"/>
        </w:rPr>
        <w:t xml:space="preserve"> </w:t>
      </w:r>
      <w:r>
        <w:rPr>
          <w:rFonts w:ascii="黑体" w:eastAsia="黑体" w:hAnsi="黑体" w:cs="黑体" w:hint="eastAsia"/>
        </w:rPr>
        <w:t>原料运输管理</w:t>
      </w:r>
    </w:p>
    <w:p w:rsidR="00BF4EFC" w:rsidRDefault="00A94BE9">
      <w:pPr>
        <w:pStyle w:val="1"/>
        <w:adjustRightInd w:val="0"/>
        <w:snapToGrid w:val="0"/>
        <w:spacing w:line="360" w:lineRule="auto"/>
        <w:contextualSpacing/>
        <w:rPr>
          <w:rFonts w:eastAsiaTheme="minorEastAsia"/>
        </w:rPr>
      </w:pPr>
      <w:r>
        <w:rPr>
          <w:rFonts w:eastAsiaTheme="minorEastAsia"/>
        </w:rPr>
        <w:t>原料油菜籽采购后，由指定专车来完成运输。混运时，采用易于分区的容器分开存放绿色食品和常规产品用原料。保持运输工具清洁卫生，运输车辆每天清洗一次，混</w:t>
      </w:r>
      <w:proofErr w:type="gramStart"/>
      <w:r>
        <w:rPr>
          <w:rFonts w:eastAsiaTheme="minorEastAsia"/>
        </w:rPr>
        <w:t>运情况</w:t>
      </w:r>
      <w:proofErr w:type="gramEnd"/>
      <w:r>
        <w:rPr>
          <w:rFonts w:eastAsiaTheme="minorEastAsia"/>
        </w:rPr>
        <w:t>应每趟清洗一次。</w:t>
      </w:r>
    </w:p>
    <w:p w:rsidR="00BF4EFC" w:rsidRDefault="00A94BE9" w:rsidP="00091C3B">
      <w:pPr>
        <w:pStyle w:val="1"/>
        <w:adjustRightInd w:val="0"/>
        <w:snapToGrid w:val="0"/>
        <w:spacing w:line="360" w:lineRule="auto"/>
        <w:ind w:firstLineChars="0" w:firstLine="0"/>
        <w:contextualSpacing/>
        <w:outlineLvl w:val="0"/>
        <w:rPr>
          <w:rFonts w:eastAsiaTheme="minorEastAsia"/>
        </w:rPr>
      </w:pPr>
      <w:r>
        <w:rPr>
          <w:rFonts w:eastAsiaTheme="minorEastAsia"/>
        </w:rPr>
        <w:t>9.2.2</w:t>
      </w:r>
      <w:r>
        <w:rPr>
          <w:rFonts w:ascii="黑体" w:eastAsia="黑体" w:hAnsi="黑体" w:cs="黑体" w:hint="eastAsia"/>
        </w:rPr>
        <w:t xml:space="preserve"> </w:t>
      </w:r>
      <w:r w:rsidR="005538BE">
        <w:rPr>
          <w:rFonts w:ascii="黑体" w:eastAsia="黑体" w:hAnsi="黑体" w:cs="黑体" w:hint="eastAsia"/>
        </w:rPr>
        <w:t>储</w:t>
      </w:r>
      <w:r>
        <w:rPr>
          <w:rFonts w:ascii="黑体" w:eastAsia="黑体" w:hAnsi="黑体" w:cs="黑体" w:hint="eastAsia"/>
        </w:rPr>
        <w:t>藏管理</w:t>
      </w:r>
    </w:p>
    <w:p w:rsidR="00BF4EFC" w:rsidRDefault="00A94BE9">
      <w:pPr>
        <w:pStyle w:val="1"/>
        <w:adjustRightInd w:val="0"/>
        <w:snapToGrid w:val="0"/>
        <w:spacing w:line="360" w:lineRule="auto"/>
        <w:contextualSpacing/>
        <w:rPr>
          <w:rFonts w:eastAsiaTheme="minorEastAsia"/>
        </w:rPr>
      </w:pPr>
      <w:r>
        <w:rPr>
          <w:rFonts w:eastAsiaTheme="minorEastAsia"/>
        </w:rPr>
        <w:t>绿色食品油菜籽的生产原料应存放于单独的仓库。如与常规产品的加工原料共用同一仓库时，应分区域储藏。仓储前应对库房进行全面清洁，以防止交叉，并有显著的标识区分两种生产原料。</w:t>
      </w:r>
    </w:p>
    <w:p w:rsidR="00BF4EFC" w:rsidRDefault="00A94BE9" w:rsidP="00091C3B">
      <w:pPr>
        <w:pStyle w:val="1"/>
        <w:adjustRightInd w:val="0"/>
        <w:snapToGrid w:val="0"/>
        <w:spacing w:line="360" w:lineRule="auto"/>
        <w:ind w:firstLineChars="0" w:firstLine="0"/>
        <w:contextualSpacing/>
        <w:outlineLvl w:val="0"/>
        <w:rPr>
          <w:rFonts w:ascii="黑体" w:eastAsia="黑体" w:hAnsi="黑体" w:cs="黑体"/>
        </w:rPr>
      </w:pPr>
      <w:r>
        <w:rPr>
          <w:rFonts w:eastAsiaTheme="minorEastAsia"/>
        </w:rPr>
        <w:t>9.2.3</w:t>
      </w:r>
      <w:r>
        <w:rPr>
          <w:rFonts w:eastAsiaTheme="minorEastAsia" w:hint="eastAsia"/>
        </w:rPr>
        <w:t xml:space="preserve"> </w:t>
      </w:r>
      <w:r>
        <w:rPr>
          <w:rFonts w:ascii="黑体" w:eastAsia="黑体" w:hAnsi="黑体" w:cs="黑体" w:hint="eastAsia"/>
        </w:rPr>
        <w:t>记录与追溯管理</w:t>
      </w:r>
    </w:p>
    <w:p w:rsidR="00BF4EFC" w:rsidRDefault="00A94BE9">
      <w:pPr>
        <w:pStyle w:val="1"/>
        <w:adjustRightInd w:val="0"/>
        <w:snapToGrid w:val="0"/>
        <w:spacing w:line="360" w:lineRule="auto"/>
        <w:contextualSpacing/>
        <w:rPr>
          <w:rFonts w:eastAsiaTheme="minorEastAsia"/>
        </w:rPr>
      </w:pPr>
      <w:r>
        <w:rPr>
          <w:rFonts w:eastAsiaTheme="minorEastAsia"/>
        </w:rPr>
        <w:t>按照生产加工企业追溯制度要求建立产品加工记录，绿色食品应有独立的记录，追溯编号信息应明确，区分于常规产品。</w:t>
      </w:r>
    </w:p>
    <w:p w:rsidR="00BF4EFC" w:rsidRDefault="00A94BE9" w:rsidP="00091C3B">
      <w:pPr>
        <w:pStyle w:val="1"/>
        <w:adjustRightInd w:val="0"/>
        <w:snapToGrid w:val="0"/>
        <w:spacing w:line="360" w:lineRule="auto"/>
        <w:ind w:firstLineChars="0" w:firstLine="0"/>
        <w:contextualSpacing/>
        <w:outlineLvl w:val="0"/>
        <w:rPr>
          <w:rFonts w:eastAsiaTheme="minorEastAsia"/>
        </w:rPr>
      </w:pPr>
      <w:r>
        <w:rPr>
          <w:rFonts w:eastAsiaTheme="minorEastAsia"/>
        </w:rPr>
        <w:t>9.2.4</w:t>
      </w:r>
      <w:r>
        <w:rPr>
          <w:rFonts w:ascii="黑体" w:eastAsia="黑体" w:hAnsi="黑体" w:cs="黑体" w:hint="eastAsia"/>
        </w:rPr>
        <w:t xml:space="preserve"> 成品包装、标识管理</w:t>
      </w:r>
    </w:p>
    <w:p w:rsidR="00BF4EFC" w:rsidRDefault="00A94BE9">
      <w:pPr>
        <w:pStyle w:val="1"/>
        <w:adjustRightInd w:val="0"/>
        <w:snapToGrid w:val="0"/>
        <w:spacing w:line="360" w:lineRule="auto"/>
        <w:contextualSpacing/>
        <w:rPr>
          <w:rFonts w:eastAsiaTheme="minorEastAsia"/>
        </w:rPr>
      </w:pPr>
      <w:r>
        <w:rPr>
          <w:rFonts w:eastAsiaTheme="minorEastAsia"/>
        </w:rPr>
        <w:t>根据生产日期、生产批号等，按照绿色食品标识规则进行编号、标识，并分时段、分区域的存放包装成品。绿色食品的包装、存储区域应设置明显标识，与常规产品分开存放，防止混淆。</w:t>
      </w:r>
    </w:p>
    <w:p w:rsidR="00BF4EFC" w:rsidRDefault="00A94BE9" w:rsidP="00091C3B">
      <w:pPr>
        <w:pStyle w:val="a3"/>
        <w:adjustRightInd w:val="0"/>
        <w:snapToGrid w:val="0"/>
        <w:spacing w:line="360" w:lineRule="auto"/>
        <w:ind w:right="603"/>
        <w:outlineLvl w:val="0"/>
        <w:rPr>
          <w:rFonts w:ascii="Times New Roman" w:eastAsiaTheme="minorEastAsia" w:hAnsi="Times New Roman" w:cs="Times New Roman"/>
          <w:lang w:val="en-US" w:eastAsia="zh-CN" w:bidi="ar-SA"/>
        </w:rPr>
      </w:pPr>
      <w:r>
        <w:rPr>
          <w:rFonts w:ascii="Times New Roman" w:eastAsiaTheme="minorEastAsia" w:hAnsi="Times New Roman" w:cs="Times New Roman"/>
          <w:lang w:val="en-US" w:eastAsia="zh-CN" w:bidi="ar-SA"/>
        </w:rPr>
        <w:t>9.2.5</w:t>
      </w:r>
      <w:r>
        <w:rPr>
          <w:rFonts w:ascii="Times New Roman" w:eastAsiaTheme="minorEastAsia" w:hAnsi="Times New Roman" w:cs="Times New Roman" w:hint="eastAsia"/>
          <w:lang w:val="en-US" w:eastAsia="zh-CN" w:bidi="ar-SA"/>
        </w:rPr>
        <w:t xml:space="preserve"> </w:t>
      </w:r>
      <w:r>
        <w:rPr>
          <w:rFonts w:ascii="黑体" w:eastAsia="黑体" w:hAnsi="黑体" w:cs="黑体" w:hint="eastAsia"/>
          <w:lang w:val="en-US" w:eastAsia="zh-CN" w:bidi="ar-SA"/>
        </w:rPr>
        <w:t>销售运输管理</w:t>
      </w:r>
    </w:p>
    <w:p w:rsidR="00BF4EFC" w:rsidRDefault="00A94BE9">
      <w:pPr>
        <w:pStyle w:val="a3"/>
        <w:kinsoku w:val="0"/>
        <w:overflowPunct w:val="0"/>
        <w:autoSpaceDE w:val="0"/>
        <w:adjustRightInd w:val="0"/>
        <w:snapToGrid w:val="0"/>
        <w:spacing w:line="360" w:lineRule="auto"/>
        <w:ind w:firstLineChars="200" w:firstLine="420"/>
        <w:rPr>
          <w:rFonts w:ascii="Times New Roman" w:eastAsiaTheme="minorEastAsia" w:hAnsi="Times New Roman" w:cs="Times New Roman"/>
          <w:lang w:val="en-US" w:eastAsia="zh-CN" w:bidi="ar-SA"/>
        </w:rPr>
      </w:pPr>
      <w:r>
        <w:rPr>
          <w:rFonts w:ascii="Times New Roman" w:eastAsiaTheme="minorEastAsia" w:hAnsi="Times New Roman" w:cs="Times New Roman"/>
          <w:lang w:val="en-US" w:eastAsia="zh-CN" w:bidi="ar-SA"/>
        </w:rPr>
        <w:t>绿色食品成品应采用专车运输，一般不得与常规产品混装混运，保持车辆清洁卫生，每天至少清理一次。</w:t>
      </w:r>
    </w:p>
    <w:p w:rsidR="00BF4EFC" w:rsidRDefault="00A94BE9" w:rsidP="00091C3B">
      <w:pPr>
        <w:pStyle w:val="a3"/>
        <w:adjustRightInd w:val="0"/>
        <w:snapToGrid w:val="0"/>
        <w:spacing w:line="360" w:lineRule="auto"/>
        <w:ind w:right="603"/>
        <w:outlineLvl w:val="0"/>
        <w:rPr>
          <w:rFonts w:ascii="Times New Roman" w:eastAsiaTheme="minorEastAsia" w:hAnsi="Times New Roman" w:cs="Times New Roman"/>
          <w:lang w:val="en-US" w:eastAsia="zh-CN" w:bidi="ar-SA"/>
        </w:rPr>
      </w:pPr>
      <w:r>
        <w:rPr>
          <w:rFonts w:ascii="Times New Roman" w:eastAsiaTheme="minorEastAsia" w:hAnsi="Times New Roman" w:cs="Times New Roman"/>
          <w:lang w:val="en-US" w:eastAsia="zh-CN" w:bidi="ar-SA"/>
        </w:rPr>
        <w:t>9.2.6</w:t>
      </w:r>
      <w:r>
        <w:rPr>
          <w:rFonts w:ascii="Times New Roman" w:eastAsiaTheme="minorEastAsia" w:hAnsi="Times New Roman" w:cs="Times New Roman" w:hint="eastAsia"/>
          <w:lang w:val="en-US" w:eastAsia="zh-CN" w:bidi="ar-SA"/>
        </w:rPr>
        <w:t xml:space="preserve"> </w:t>
      </w:r>
      <w:r>
        <w:rPr>
          <w:rFonts w:ascii="黑体" w:eastAsia="黑体" w:hAnsi="黑体" w:cs="黑体" w:hint="eastAsia"/>
          <w:lang w:val="en-US" w:eastAsia="zh-CN" w:bidi="ar-SA"/>
        </w:rPr>
        <w:t>人员管理</w:t>
      </w:r>
    </w:p>
    <w:p w:rsidR="00BF4EFC" w:rsidRDefault="00A94BE9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kern w:val="21"/>
          <w:szCs w:val="21"/>
        </w:rPr>
        <w:t>加工人员应熟悉卫生知识，上岗前和每年度均进行健康检查，取得健康证并</w:t>
      </w:r>
      <w:r>
        <w:rPr>
          <w:szCs w:val="21"/>
        </w:rPr>
        <w:t>经过专业技术培训方能上岗，其中化验员、设备操作员、机修工、锅炉工应按国家规定持证上岗，能较熟练地完成本职工作。</w:t>
      </w:r>
    </w:p>
    <w:p w:rsidR="00BF4EFC" w:rsidRDefault="00A94BE9" w:rsidP="00091C3B">
      <w:pPr>
        <w:adjustRightInd w:val="0"/>
        <w:snapToGrid w:val="0"/>
        <w:spacing w:line="360" w:lineRule="auto"/>
        <w:outlineLvl w:val="0"/>
        <w:rPr>
          <w:rFonts w:eastAsia="黑体"/>
          <w:kern w:val="21"/>
          <w:szCs w:val="21"/>
        </w:rPr>
      </w:pPr>
      <w:r>
        <w:rPr>
          <w:rFonts w:eastAsia="黑体"/>
          <w:kern w:val="21"/>
          <w:szCs w:val="21"/>
        </w:rPr>
        <w:t>10</w:t>
      </w:r>
      <w:r>
        <w:rPr>
          <w:rFonts w:eastAsia="黑体" w:hint="eastAsia"/>
          <w:kern w:val="21"/>
          <w:szCs w:val="21"/>
        </w:rPr>
        <w:t xml:space="preserve">  </w:t>
      </w:r>
      <w:r>
        <w:rPr>
          <w:rFonts w:eastAsia="黑体"/>
          <w:kern w:val="21"/>
          <w:szCs w:val="21"/>
        </w:rPr>
        <w:t>生产废弃物处理</w:t>
      </w:r>
    </w:p>
    <w:p w:rsidR="00BF4EFC" w:rsidRDefault="00A94BE9">
      <w:pPr>
        <w:pStyle w:val="1"/>
        <w:adjustRightInd w:val="0"/>
        <w:snapToGrid w:val="0"/>
        <w:spacing w:line="360" w:lineRule="auto"/>
        <w:contextualSpacing/>
        <w:rPr>
          <w:kern w:val="21"/>
        </w:rPr>
      </w:pPr>
      <w:r>
        <w:rPr>
          <w:rFonts w:eastAsiaTheme="minorEastAsia"/>
          <w:lang w:val="hu-HU" w:eastAsia="hu-HU" w:bidi="hu-HU"/>
        </w:rPr>
        <w:t>生产废弃物</w:t>
      </w:r>
      <w:r>
        <w:rPr>
          <w:rFonts w:eastAsiaTheme="minorEastAsia"/>
          <w:lang w:val="hu-HU" w:bidi="hu-HU"/>
        </w:rPr>
        <w:t>分为</w:t>
      </w:r>
      <w:r>
        <w:rPr>
          <w:rFonts w:eastAsiaTheme="minorEastAsia"/>
          <w:lang w:val="hu-HU" w:eastAsia="hu-HU" w:bidi="hu-HU"/>
        </w:rPr>
        <w:t>废水</w:t>
      </w:r>
      <w:r>
        <w:rPr>
          <w:rFonts w:eastAsiaTheme="minorEastAsia"/>
          <w:lang w:val="hu-HU" w:bidi="hu-HU"/>
        </w:rPr>
        <w:t>、</w:t>
      </w:r>
      <w:r>
        <w:rPr>
          <w:rFonts w:eastAsiaTheme="minorEastAsia"/>
          <w:lang w:val="hu-HU" w:eastAsia="hu-HU" w:bidi="hu-HU"/>
        </w:rPr>
        <w:t>废气</w:t>
      </w:r>
      <w:r>
        <w:rPr>
          <w:rFonts w:eastAsiaTheme="minorEastAsia"/>
          <w:lang w:val="hu-HU" w:bidi="hu-HU"/>
        </w:rPr>
        <w:t>、</w:t>
      </w:r>
      <w:r>
        <w:rPr>
          <w:rFonts w:eastAsiaTheme="minorEastAsia"/>
          <w:lang w:val="hu-HU" w:eastAsia="hu-HU" w:bidi="hu-HU"/>
        </w:rPr>
        <w:t>废渣</w:t>
      </w:r>
      <w:r>
        <w:rPr>
          <w:rFonts w:eastAsiaTheme="minorEastAsia"/>
          <w:lang w:val="hu-HU" w:bidi="hu-HU"/>
        </w:rPr>
        <w:t>，</w:t>
      </w:r>
      <w:r>
        <w:rPr>
          <w:rFonts w:eastAsiaTheme="minorEastAsia"/>
          <w:lang w:val="hu-HU" w:eastAsia="hu-HU" w:bidi="hu-HU"/>
        </w:rPr>
        <w:t>包括生产过程的废弃物（如</w:t>
      </w:r>
      <w:r>
        <w:rPr>
          <w:rFonts w:eastAsiaTheme="minorEastAsia"/>
          <w:lang w:val="hu-HU" w:bidi="hu-HU"/>
        </w:rPr>
        <w:t>油菜籽</w:t>
      </w:r>
      <w:r>
        <w:rPr>
          <w:rFonts w:eastAsiaTheme="minorEastAsia"/>
          <w:lang w:val="hu-HU" w:eastAsia="hu-HU" w:bidi="hu-HU"/>
        </w:rPr>
        <w:t>清理过程中的杂质、现场清扫出来的粉尘、不合格产品、废旧包装等）、与生产相关过程的废弃物（如机电维修的含油废棉纱、设备修理废料以及工厂产生的其他废料废渣等）、生产人员生活垃圾（如带入现场的塑料袋、一次饭盒以及塑料泡沫板、烟蒂）等</w:t>
      </w:r>
      <w:r>
        <w:rPr>
          <w:rFonts w:eastAsiaTheme="minorEastAsia"/>
          <w:lang w:val="hu-HU" w:bidi="hu-HU"/>
        </w:rPr>
        <w:t>。</w:t>
      </w:r>
      <w:r>
        <w:rPr>
          <w:rFonts w:eastAsiaTheme="minorEastAsia"/>
          <w:lang w:val="hu-HU" w:eastAsia="hu-HU" w:bidi="hu-HU"/>
        </w:rPr>
        <w:t>废水</w:t>
      </w:r>
      <w:r>
        <w:rPr>
          <w:rFonts w:eastAsiaTheme="minorEastAsia"/>
          <w:lang w:val="hu-HU" w:bidi="hu-HU"/>
        </w:rPr>
        <w:t>、</w:t>
      </w:r>
      <w:r>
        <w:rPr>
          <w:rFonts w:eastAsiaTheme="minorEastAsia"/>
          <w:lang w:val="hu-HU" w:eastAsia="hu-HU" w:bidi="hu-HU"/>
        </w:rPr>
        <w:t>废气</w:t>
      </w:r>
      <w:r>
        <w:rPr>
          <w:kern w:val="21"/>
        </w:rPr>
        <w:t>应采取合适方法及时进行净化，禁止将</w:t>
      </w:r>
      <w:r>
        <w:rPr>
          <w:rFonts w:eastAsiaTheme="minorEastAsia"/>
          <w:lang w:val="hu-HU" w:eastAsia="hu-HU" w:bidi="hu-HU"/>
        </w:rPr>
        <w:t>废水</w:t>
      </w:r>
      <w:r>
        <w:rPr>
          <w:rFonts w:eastAsiaTheme="minorEastAsia"/>
          <w:lang w:val="hu-HU" w:bidi="hu-HU"/>
        </w:rPr>
        <w:t>、</w:t>
      </w:r>
      <w:r>
        <w:rPr>
          <w:rFonts w:eastAsiaTheme="minorEastAsia"/>
          <w:lang w:val="hu-HU" w:eastAsia="hu-HU" w:bidi="hu-HU"/>
        </w:rPr>
        <w:t>废气</w:t>
      </w:r>
      <w:r>
        <w:rPr>
          <w:kern w:val="21"/>
        </w:rPr>
        <w:t>直接排放</w:t>
      </w:r>
      <w:proofErr w:type="gramStart"/>
      <w:r>
        <w:rPr>
          <w:kern w:val="21"/>
        </w:rPr>
        <w:t>至环境</w:t>
      </w:r>
      <w:proofErr w:type="gramEnd"/>
      <w:r>
        <w:rPr>
          <w:kern w:val="21"/>
        </w:rPr>
        <w:t>中。排放到环境中的水、气应符合相关国家法律法规。对于</w:t>
      </w:r>
      <w:proofErr w:type="gramStart"/>
      <w:r>
        <w:rPr>
          <w:kern w:val="21"/>
        </w:rPr>
        <w:t>菜籽油</w:t>
      </w:r>
      <w:proofErr w:type="gramEnd"/>
      <w:r>
        <w:rPr>
          <w:kern w:val="21"/>
        </w:rPr>
        <w:t>生产过程中产生的</w:t>
      </w:r>
      <w:r>
        <w:rPr>
          <w:rFonts w:eastAsiaTheme="minorEastAsia"/>
          <w:lang w:val="hu-HU" w:eastAsia="hu-HU" w:bidi="hu-HU"/>
        </w:rPr>
        <w:t>废渣</w:t>
      </w:r>
      <w:r>
        <w:rPr>
          <w:kern w:val="21"/>
        </w:rPr>
        <w:t>等应定期进行清理、分类，并对可利用的垃圾等进行二次回收再利用；对于不能二次利用的垃圾统一</w:t>
      </w:r>
      <w:r>
        <w:rPr>
          <w:rFonts w:hint="eastAsia"/>
          <w:kern w:val="21"/>
        </w:rPr>
        <w:t>由</w:t>
      </w:r>
      <w:r>
        <w:rPr>
          <w:kern w:val="21"/>
        </w:rPr>
        <w:t>具有相关资质的垃圾处理公司进行集中处理</w:t>
      </w:r>
      <w:r>
        <w:t>，并做好处理记录</w:t>
      </w:r>
      <w:r>
        <w:rPr>
          <w:kern w:val="21"/>
        </w:rPr>
        <w:t>。</w:t>
      </w:r>
    </w:p>
    <w:p w:rsidR="00BF4EFC" w:rsidRDefault="00A94BE9">
      <w:pPr>
        <w:adjustRightInd w:val="0"/>
        <w:snapToGrid w:val="0"/>
        <w:spacing w:line="360" w:lineRule="auto"/>
        <w:rPr>
          <w:rFonts w:eastAsia="黑体"/>
          <w:kern w:val="21"/>
          <w:szCs w:val="21"/>
        </w:rPr>
      </w:pPr>
      <w:r>
        <w:rPr>
          <w:rFonts w:eastAsia="黑体"/>
          <w:kern w:val="21"/>
          <w:szCs w:val="21"/>
        </w:rPr>
        <w:t>11</w:t>
      </w:r>
      <w:r>
        <w:rPr>
          <w:rFonts w:eastAsia="黑体" w:hint="eastAsia"/>
          <w:kern w:val="21"/>
          <w:szCs w:val="21"/>
        </w:rPr>
        <w:t xml:space="preserve">  </w:t>
      </w:r>
      <w:r>
        <w:rPr>
          <w:rFonts w:eastAsia="黑体"/>
          <w:kern w:val="21"/>
          <w:szCs w:val="21"/>
        </w:rPr>
        <w:t>生产记录档案</w:t>
      </w:r>
    </w:p>
    <w:p w:rsidR="00BF4EFC" w:rsidRDefault="00A94BE9">
      <w:pPr>
        <w:adjustRightInd w:val="0"/>
        <w:snapToGrid w:val="0"/>
        <w:spacing w:line="360" w:lineRule="auto"/>
        <w:rPr>
          <w:rFonts w:eastAsia="黑体"/>
          <w:kern w:val="21"/>
          <w:szCs w:val="21"/>
        </w:rPr>
      </w:pPr>
      <w:r>
        <w:rPr>
          <w:rFonts w:eastAsia="黑体"/>
          <w:kern w:val="21"/>
          <w:szCs w:val="21"/>
        </w:rPr>
        <w:t>11.1</w:t>
      </w:r>
      <w:r>
        <w:rPr>
          <w:rFonts w:eastAsia="黑体" w:hint="eastAsia"/>
          <w:kern w:val="21"/>
          <w:szCs w:val="21"/>
        </w:rPr>
        <w:t xml:space="preserve">  </w:t>
      </w:r>
      <w:r>
        <w:rPr>
          <w:rFonts w:eastAsia="黑体"/>
          <w:kern w:val="21"/>
          <w:szCs w:val="21"/>
        </w:rPr>
        <w:t>生产记录</w:t>
      </w:r>
      <w:r>
        <w:rPr>
          <w:rFonts w:eastAsia="黑体"/>
          <w:kern w:val="21"/>
          <w:szCs w:val="21"/>
        </w:rPr>
        <w:t xml:space="preserve"> </w:t>
      </w:r>
    </w:p>
    <w:p w:rsidR="00BF4EFC" w:rsidRDefault="00A94BE9">
      <w:pPr>
        <w:kinsoku w:val="0"/>
        <w:overflowPunct w:val="0"/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加工企业应单独建立绿色食品</w:t>
      </w:r>
      <w:proofErr w:type="gramStart"/>
      <w:r>
        <w:rPr>
          <w:rFonts w:hint="eastAsia"/>
          <w:szCs w:val="21"/>
        </w:rPr>
        <w:t>菜籽油</w:t>
      </w:r>
      <w:proofErr w:type="gramEnd"/>
      <w:r>
        <w:rPr>
          <w:szCs w:val="21"/>
        </w:rPr>
        <w:t>档案管理制度。</w:t>
      </w:r>
      <w:r>
        <w:rPr>
          <w:szCs w:val="21"/>
        </w:rPr>
        <w:t xml:space="preserve"> </w:t>
      </w:r>
    </w:p>
    <w:p w:rsidR="00BF4EFC" w:rsidRDefault="00A94BE9" w:rsidP="00091C3B">
      <w:pPr>
        <w:adjustRightInd w:val="0"/>
        <w:snapToGrid w:val="0"/>
        <w:spacing w:line="360" w:lineRule="auto"/>
        <w:outlineLvl w:val="0"/>
        <w:rPr>
          <w:rFonts w:eastAsia="黑体"/>
          <w:kern w:val="21"/>
          <w:szCs w:val="21"/>
        </w:rPr>
      </w:pPr>
      <w:r>
        <w:rPr>
          <w:rFonts w:eastAsia="黑体"/>
          <w:kern w:val="21"/>
          <w:szCs w:val="21"/>
        </w:rPr>
        <w:t>11.2</w:t>
      </w:r>
      <w:r>
        <w:rPr>
          <w:rFonts w:eastAsia="黑体" w:hint="eastAsia"/>
          <w:kern w:val="21"/>
          <w:szCs w:val="21"/>
        </w:rPr>
        <w:t xml:space="preserve">  </w:t>
      </w:r>
      <w:r>
        <w:rPr>
          <w:rFonts w:eastAsia="黑体"/>
          <w:kern w:val="21"/>
          <w:szCs w:val="21"/>
        </w:rPr>
        <w:t>检验质量记录</w:t>
      </w:r>
      <w:r>
        <w:rPr>
          <w:rFonts w:eastAsia="黑体"/>
          <w:kern w:val="21"/>
          <w:szCs w:val="21"/>
        </w:rPr>
        <w:t xml:space="preserve"> </w:t>
      </w:r>
    </w:p>
    <w:p w:rsidR="00BF4EFC" w:rsidRDefault="00A94BE9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对每批产品进行检验，并及时记录产品的检验结果和检验人员。</w:t>
      </w:r>
    </w:p>
    <w:p w:rsidR="00BF4EFC" w:rsidRDefault="00A94BE9" w:rsidP="00091C3B">
      <w:pPr>
        <w:adjustRightInd w:val="0"/>
        <w:snapToGrid w:val="0"/>
        <w:spacing w:line="360" w:lineRule="auto"/>
        <w:outlineLvl w:val="0"/>
        <w:rPr>
          <w:rFonts w:eastAsia="黑体"/>
          <w:kern w:val="21"/>
          <w:szCs w:val="21"/>
        </w:rPr>
      </w:pPr>
      <w:r>
        <w:rPr>
          <w:rFonts w:eastAsia="黑体"/>
          <w:kern w:val="21"/>
          <w:szCs w:val="21"/>
        </w:rPr>
        <w:t>11.3</w:t>
      </w:r>
      <w:r>
        <w:rPr>
          <w:rFonts w:eastAsia="黑体" w:hint="eastAsia"/>
          <w:kern w:val="21"/>
          <w:szCs w:val="21"/>
        </w:rPr>
        <w:t xml:space="preserve">  </w:t>
      </w:r>
      <w:r>
        <w:rPr>
          <w:rFonts w:eastAsia="黑体"/>
          <w:kern w:val="21"/>
          <w:szCs w:val="21"/>
        </w:rPr>
        <w:t>记录控制</w:t>
      </w:r>
      <w:r>
        <w:rPr>
          <w:rFonts w:eastAsia="黑体"/>
          <w:kern w:val="21"/>
          <w:szCs w:val="21"/>
        </w:rPr>
        <w:t xml:space="preserve"> </w:t>
      </w:r>
    </w:p>
    <w:p w:rsidR="00BF4EFC" w:rsidRDefault="00A94BE9">
      <w:pPr>
        <w:pStyle w:val="a3"/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 w:eastAsia="zh-CN"/>
        </w:rPr>
        <w:t>所有记录应真实、准确、规范，字迹清楚、不得损坏、丢失、随意涂改，并具有可追溯性。</w:t>
      </w:r>
      <w:r>
        <w:rPr>
          <w:rFonts w:ascii="Times New Roman" w:hAnsi="Times New Roman" w:cs="Times New Roman"/>
        </w:rPr>
        <w:t>记录内容设计应包含关键点质量控制要素，要求人员</w:t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事件</w:t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物品一一对应，实现可追溯。</w:t>
      </w:r>
    </w:p>
    <w:p w:rsidR="00BF4EFC" w:rsidRDefault="00A94BE9">
      <w:pPr>
        <w:adjustRightInd w:val="0"/>
        <w:snapToGrid w:val="0"/>
        <w:spacing w:line="360" w:lineRule="auto"/>
        <w:rPr>
          <w:rFonts w:eastAsia="黑体"/>
          <w:kern w:val="21"/>
          <w:szCs w:val="21"/>
        </w:rPr>
      </w:pPr>
      <w:r>
        <w:rPr>
          <w:rFonts w:eastAsia="黑体"/>
          <w:kern w:val="21"/>
          <w:szCs w:val="21"/>
        </w:rPr>
        <w:t>11.4</w:t>
      </w:r>
      <w:r>
        <w:rPr>
          <w:rFonts w:eastAsia="黑体" w:hint="eastAsia"/>
          <w:kern w:val="21"/>
          <w:szCs w:val="21"/>
        </w:rPr>
        <w:t xml:space="preserve">  </w:t>
      </w:r>
      <w:r>
        <w:rPr>
          <w:rFonts w:eastAsia="黑体"/>
          <w:kern w:val="21"/>
          <w:szCs w:val="21"/>
        </w:rPr>
        <w:t>档案管理</w:t>
      </w:r>
    </w:p>
    <w:p w:rsidR="00BF4EFC" w:rsidRDefault="00A94BE9">
      <w:pPr>
        <w:adjustRightInd w:val="0"/>
        <w:snapToGrid w:val="0"/>
        <w:spacing w:line="360" w:lineRule="auto"/>
        <w:rPr>
          <w:kern w:val="21"/>
          <w:szCs w:val="21"/>
          <w:lang w:bidi="hu-HU"/>
        </w:rPr>
      </w:pPr>
      <w:r>
        <w:rPr>
          <w:rFonts w:eastAsia="黑体"/>
          <w:kern w:val="21"/>
          <w:szCs w:val="21"/>
        </w:rPr>
        <w:t>11.4</w:t>
      </w:r>
      <w:r>
        <w:rPr>
          <w:rFonts w:eastAsia="黑体" w:hint="eastAsia"/>
          <w:kern w:val="21"/>
          <w:szCs w:val="21"/>
        </w:rPr>
        <w:t xml:space="preserve">.1 </w:t>
      </w:r>
      <w:r>
        <w:rPr>
          <w:kern w:val="21"/>
          <w:szCs w:val="21"/>
          <w:lang w:bidi="hu-HU"/>
        </w:rPr>
        <w:t>绿色食品预</w:t>
      </w:r>
      <w:proofErr w:type="gramStart"/>
      <w:r>
        <w:rPr>
          <w:kern w:val="21"/>
          <w:szCs w:val="21"/>
          <w:lang w:bidi="hu-HU"/>
        </w:rPr>
        <w:t>榨</w:t>
      </w:r>
      <w:proofErr w:type="gramEnd"/>
      <w:r>
        <w:rPr>
          <w:kern w:val="21"/>
          <w:szCs w:val="21"/>
          <w:lang w:bidi="hu-HU"/>
        </w:rPr>
        <w:t>浸出</w:t>
      </w:r>
      <w:proofErr w:type="gramStart"/>
      <w:r>
        <w:rPr>
          <w:kern w:val="21"/>
          <w:szCs w:val="21"/>
        </w:rPr>
        <w:t>菜籽油</w:t>
      </w:r>
      <w:proofErr w:type="gramEnd"/>
      <w:r>
        <w:rPr>
          <w:kern w:val="21"/>
          <w:szCs w:val="21"/>
          <w:lang w:bidi="hu-HU"/>
        </w:rPr>
        <w:t>加工企业应建立档案管理制度。</w:t>
      </w:r>
    </w:p>
    <w:p w:rsidR="00BF4EFC" w:rsidRDefault="00A94BE9">
      <w:pPr>
        <w:adjustRightInd w:val="0"/>
        <w:snapToGrid w:val="0"/>
        <w:spacing w:line="360" w:lineRule="auto"/>
        <w:rPr>
          <w:szCs w:val="21"/>
        </w:rPr>
      </w:pPr>
      <w:r>
        <w:rPr>
          <w:rFonts w:eastAsia="黑体"/>
          <w:kern w:val="21"/>
          <w:szCs w:val="21"/>
        </w:rPr>
        <w:t>11.4</w:t>
      </w:r>
      <w:r>
        <w:rPr>
          <w:rFonts w:eastAsia="黑体" w:hint="eastAsia"/>
          <w:kern w:val="21"/>
          <w:szCs w:val="21"/>
        </w:rPr>
        <w:t xml:space="preserve">.2 </w:t>
      </w:r>
      <w:r>
        <w:rPr>
          <w:kern w:val="21"/>
          <w:szCs w:val="21"/>
          <w:lang w:bidi="hu-HU"/>
        </w:rPr>
        <w:t>档案资料主要包括质量管理体系文件、生产加工计划、产地合同、生产加工数量、生产过程控制、产品检测报告、人员档案及其健康体检报告与应急情况处理等控制文件等，</w:t>
      </w:r>
      <w:r>
        <w:rPr>
          <w:szCs w:val="21"/>
        </w:rPr>
        <w:t>内容准确、完整、清晰。</w:t>
      </w:r>
    </w:p>
    <w:p w:rsidR="00BF4EFC" w:rsidRDefault="00A94BE9">
      <w:pPr>
        <w:adjustRightInd w:val="0"/>
        <w:snapToGrid w:val="0"/>
        <w:spacing w:line="360" w:lineRule="auto"/>
        <w:rPr>
          <w:szCs w:val="21"/>
        </w:rPr>
      </w:pPr>
      <w:r>
        <w:rPr>
          <w:rFonts w:eastAsia="黑体"/>
          <w:kern w:val="21"/>
          <w:szCs w:val="21"/>
        </w:rPr>
        <w:t>11.4</w:t>
      </w:r>
      <w:r>
        <w:rPr>
          <w:rFonts w:eastAsia="黑体" w:hint="eastAsia"/>
          <w:kern w:val="21"/>
          <w:szCs w:val="21"/>
        </w:rPr>
        <w:t xml:space="preserve">.3 </w:t>
      </w:r>
      <w:r>
        <w:rPr>
          <w:szCs w:val="21"/>
        </w:rPr>
        <w:t>建立可追溯体系，生产、加工、贮藏、销售等环节，有连续的、可跟踪的生产批号系统，根据批号系统能查询到完整的档案记录。</w:t>
      </w:r>
    </w:p>
    <w:p w:rsidR="00BF4EFC" w:rsidRDefault="00A94BE9">
      <w:pPr>
        <w:adjustRightInd w:val="0"/>
        <w:snapToGrid w:val="0"/>
        <w:spacing w:line="360" w:lineRule="auto"/>
        <w:rPr>
          <w:kern w:val="21"/>
        </w:rPr>
      </w:pPr>
      <w:r>
        <w:rPr>
          <w:rFonts w:eastAsia="黑体"/>
          <w:kern w:val="21"/>
          <w:szCs w:val="21"/>
        </w:rPr>
        <w:t>11.4</w:t>
      </w:r>
      <w:r>
        <w:rPr>
          <w:rFonts w:eastAsia="黑体" w:hint="eastAsia"/>
          <w:kern w:val="21"/>
          <w:szCs w:val="21"/>
        </w:rPr>
        <w:t xml:space="preserve">.4 </w:t>
      </w:r>
      <w:r>
        <w:rPr>
          <w:kern w:val="21"/>
        </w:rPr>
        <w:t>文件记录至少保存</w:t>
      </w:r>
      <w:r>
        <w:rPr>
          <w:kern w:val="21"/>
        </w:rPr>
        <w:t>3</w:t>
      </w:r>
      <w:r>
        <w:rPr>
          <w:kern w:val="21"/>
        </w:rPr>
        <w:t>年，档案资料指定由专人保管。</w:t>
      </w:r>
    </w:p>
    <w:p w:rsidR="00BF4EFC" w:rsidRDefault="00E92516">
      <w:pPr>
        <w:adjustRightInd w:val="0"/>
        <w:snapToGrid w:val="0"/>
        <w:spacing w:line="360" w:lineRule="auto"/>
        <w:rPr>
          <w:kern w:val="21"/>
        </w:rPr>
      </w:pPr>
      <w:r w:rsidRPr="00E92516">
        <w:pict>
          <v:line id="_x0000_s1027" style="position:absolute;left:0;text-align:left;z-index:251659264" from="118.05pt,16.45pt" to="340.8pt,16.45pt" o:gfxdata="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d4nHK1wAAAAkBAAAP&#10;AAAAAAAAAAEAIAAAACIAAABkcnMvZG93bnJldi54bWxQSwECFAAUAAAACACHTuJA8pfvWuABAACR&#10;AwAADgAAAAAAAAABACAAAAAmAQAAZHJzL2Uyb0RvYy54bWxQSwUGAAAAAAYABgBZAQAAeAUAAAAA&#10;" strokecolor="black [3200]"/>
        </w:pict>
      </w:r>
    </w:p>
    <w:p w:rsidR="00BF4EFC" w:rsidRDefault="00A94BE9">
      <w:pPr>
        <w:adjustRightInd w:val="0"/>
        <w:snapToGrid w:val="0"/>
        <w:spacing w:line="360" w:lineRule="auto"/>
        <w:rPr>
          <w:kern w:val="21"/>
        </w:rPr>
      </w:pPr>
      <w:r>
        <w:rPr>
          <w:rFonts w:hint="eastAsia"/>
          <w:kern w:val="21"/>
        </w:rPr>
        <w:t xml:space="preserve">                 </w:t>
      </w:r>
    </w:p>
    <w:p w:rsidR="00BF4EFC" w:rsidRDefault="00BF4EFC">
      <w:pPr>
        <w:adjustRightInd w:val="0"/>
        <w:snapToGrid w:val="0"/>
        <w:spacing w:line="360" w:lineRule="auto"/>
        <w:rPr>
          <w:kern w:val="21"/>
        </w:rPr>
      </w:pPr>
    </w:p>
    <w:p w:rsidR="00BF4EFC" w:rsidRDefault="00A94BE9">
      <w:pPr>
        <w:adjustRightInd w:val="0"/>
        <w:snapToGrid w:val="0"/>
        <w:spacing w:line="360" w:lineRule="auto"/>
        <w:rPr>
          <w:kern w:val="21"/>
        </w:rPr>
      </w:pPr>
      <w:r>
        <w:rPr>
          <w:rFonts w:hint="eastAsia"/>
          <w:kern w:val="21"/>
        </w:rPr>
        <w:t xml:space="preserve">                       </w:t>
      </w:r>
    </w:p>
    <w:p w:rsidR="00BF4EFC" w:rsidRDefault="00BF4EFC">
      <w:pPr>
        <w:adjustRightInd w:val="0"/>
        <w:snapToGrid w:val="0"/>
        <w:spacing w:line="360" w:lineRule="auto"/>
        <w:rPr>
          <w:kern w:val="21"/>
        </w:rPr>
      </w:pPr>
    </w:p>
    <w:p w:rsidR="00BF4EFC" w:rsidRDefault="00BF4EFC">
      <w:pPr>
        <w:adjustRightInd w:val="0"/>
        <w:snapToGrid w:val="0"/>
        <w:spacing w:line="360" w:lineRule="auto"/>
        <w:rPr>
          <w:szCs w:val="21"/>
        </w:rPr>
      </w:pPr>
    </w:p>
    <w:sectPr w:rsidR="00BF4EFC" w:rsidSect="00BF4EFC">
      <w:footerReference w:type="default" r:id="rId8"/>
      <w:pgSz w:w="11906" w:h="16838"/>
      <w:pgMar w:top="1440" w:right="1800" w:bottom="1440" w:left="1800" w:header="851" w:footer="992" w:gutter="0"/>
      <w:cols w:space="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67C" w:rsidRDefault="001A267C" w:rsidP="00BF4EFC">
      <w:r>
        <w:separator/>
      </w:r>
    </w:p>
  </w:endnote>
  <w:endnote w:type="continuationSeparator" w:id="0">
    <w:p w:rsidR="001A267C" w:rsidRDefault="001A267C" w:rsidP="00BF4E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ZSSK--GBK1-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EFC" w:rsidRDefault="00E92516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0lY7tAAAAAFAQAADwAAAAAA&#10;AAABACAAAAAiAAAAZHJzL2Rvd25yZXYueG1sUEsBAhQAFAAAAAgAh07iQDpLBqMbAgAAIQQAAA4A&#10;AAAAAAAAAQAgAAAAHwEAAGRycy9lMm9Eb2MueG1sUEsFBgAAAAAGAAYAWQEAAKwFAAAAAA==&#10;" filled="f" stroked="f" strokeweight=".5pt">
          <v:textbox style="mso-fit-shape-to-text:t" inset="0,0,0,0">
            <w:txbxContent>
              <w:p w:rsidR="00BF4EFC" w:rsidRDefault="00E92516">
                <w:pPr>
                  <w:pStyle w:val="a4"/>
                </w:pPr>
                <w:r>
                  <w:fldChar w:fldCharType="begin"/>
                </w:r>
                <w:r w:rsidR="00A94BE9">
                  <w:instrText xml:space="preserve"> PAGE  \* MERGEFORMAT </w:instrText>
                </w:r>
                <w:r>
                  <w:fldChar w:fldCharType="separate"/>
                </w:r>
                <w:r w:rsidR="004F5273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67C" w:rsidRDefault="001A267C" w:rsidP="00BF4EFC">
      <w:r>
        <w:separator/>
      </w:r>
    </w:p>
  </w:footnote>
  <w:footnote w:type="continuationSeparator" w:id="0">
    <w:p w:rsidR="001A267C" w:rsidRDefault="001A267C" w:rsidP="00BF4E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attachedTemplate r:id="rId1"/>
  <w:defaultTabStop w:val="420"/>
  <w:drawingGridHorizontalSpacing w:val="210"/>
  <w:drawingGridVerticalSpacing w:val="156"/>
  <w:noPunctuationKerning/>
  <w:characterSpacingControl w:val="compressPunctuation"/>
  <w:savePreviewPicture/>
  <w:hdrShapeDefaults>
    <o:shapedefaults v:ext="edit" spidmax="10242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ACA364A"/>
    <w:rsid w:val="00082A12"/>
    <w:rsid w:val="00083437"/>
    <w:rsid w:val="00083C12"/>
    <w:rsid w:val="00091C3B"/>
    <w:rsid w:val="000C4E2B"/>
    <w:rsid w:val="000C5CC4"/>
    <w:rsid w:val="000E58F6"/>
    <w:rsid w:val="00154FD4"/>
    <w:rsid w:val="00172777"/>
    <w:rsid w:val="00174E06"/>
    <w:rsid w:val="00183654"/>
    <w:rsid w:val="001A267C"/>
    <w:rsid w:val="001E7F0D"/>
    <w:rsid w:val="0020154E"/>
    <w:rsid w:val="002429B8"/>
    <w:rsid w:val="002838BC"/>
    <w:rsid w:val="002A29DE"/>
    <w:rsid w:val="002F18B0"/>
    <w:rsid w:val="00380F64"/>
    <w:rsid w:val="003D6B5B"/>
    <w:rsid w:val="003E3EA3"/>
    <w:rsid w:val="00400863"/>
    <w:rsid w:val="00453809"/>
    <w:rsid w:val="004806DC"/>
    <w:rsid w:val="004F5273"/>
    <w:rsid w:val="005538BE"/>
    <w:rsid w:val="00555AB0"/>
    <w:rsid w:val="00574DFB"/>
    <w:rsid w:val="005774C8"/>
    <w:rsid w:val="005807B8"/>
    <w:rsid w:val="00624314"/>
    <w:rsid w:val="00721B12"/>
    <w:rsid w:val="007244A0"/>
    <w:rsid w:val="00735A50"/>
    <w:rsid w:val="0076237B"/>
    <w:rsid w:val="008A5D2C"/>
    <w:rsid w:val="009C546B"/>
    <w:rsid w:val="00A52E92"/>
    <w:rsid w:val="00A94BE9"/>
    <w:rsid w:val="00AD7238"/>
    <w:rsid w:val="00AF6F67"/>
    <w:rsid w:val="00B31567"/>
    <w:rsid w:val="00B9039F"/>
    <w:rsid w:val="00BE3C4B"/>
    <w:rsid w:val="00BF4EFC"/>
    <w:rsid w:val="00C044BF"/>
    <w:rsid w:val="00C06BF6"/>
    <w:rsid w:val="00C1712B"/>
    <w:rsid w:val="00CB26A6"/>
    <w:rsid w:val="00CF129E"/>
    <w:rsid w:val="00DD7DF9"/>
    <w:rsid w:val="00DD7ED1"/>
    <w:rsid w:val="00E92516"/>
    <w:rsid w:val="00F67BEA"/>
    <w:rsid w:val="00FC297F"/>
    <w:rsid w:val="06F44D28"/>
    <w:rsid w:val="08776B00"/>
    <w:rsid w:val="0ACB6BA5"/>
    <w:rsid w:val="0BFA2752"/>
    <w:rsid w:val="0FD56A9E"/>
    <w:rsid w:val="126039C0"/>
    <w:rsid w:val="1387175F"/>
    <w:rsid w:val="180D5442"/>
    <w:rsid w:val="19911127"/>
    <w:rsid w:val="1A23077C"/>
    <w:rsid w:val="1A61013F"/>
    <w:rsid w:val="1AFC066C"/>
    <w:rsid w:val="1B36764F"/>
    <w:rsid w:val="1D7457DE"/>
    <w:rsid w:val="1FB91A9A"/>
    <w:rsid w:val="20621018"/>
    <w:rsid w:val="25961AAA"/>
    <w:rsid w:val="26634A25"/>
    <w:rsid w:val="268B2512"/>
    <w:rsid w:val="27883C23"/>
    <w:rsid w:val="286A21A4"/>
    <w:rsid w:val="2A4B3EB8"/>
    <w:rsid w:val="2D9F5CAF"/>
    <w:rsid w:val="2E0D6025"/>
    <w:rsid w:val="2F8F7A8A"/>
    <w:rsid w:val="319928F9"/>
    <w:rsid w:val="32EF6470"/>
    <w:rsid w:val="364F6E14"/>
    <w:rsid w:val="39DF5D0E"/>
    <w:rsid w:val="3B1F018E"/>
    <w:rsid w:val="3B7067FC"/>
    <w:rsid w:val="3F8C4BDF"/>
    <w:rsid w:val="46852745"/>
    <w:rsid w:val="48855340"/>
    <w:rsid w:val="48D35582"/>
    <w:rsid w:val="4ABA664A"/>
    <w:rsid w:val="4ACA364A"/>
    <w:rsid w:val="4DF66A61"/>
    <w:rsid w:val="4E2269AF"/>
    <w:rsid w:val="5241759B"/>
    <w:rsid w:val="52D24A3F"/>
    <w:rsid w:val="54D2409D"/>
    <w:rsid w:val="55FC2EC1"/>
    <w:rsid w:val="567B19C4"/>
    <w:rsid w:val="579747D9"/>
    <w:rsid w:val="5B284802"/>
    <w:rsid w:val="5BEB0BF7"/>
    <w:rsid w:val="5C100AB4"/>
    <w:rsid w:val="5E5B3B78"/>
    <w:rsid w:val="5E961DB2"/>
    <w:rsid w:val="5FE8286F"/>
    <w:rsid w:val="61722B1F"/>
    <w:rsid w:val="61C67FF0"/>
    <w:rsid w:val="63836C76"/>
    <w:rsid w:val="641949E6"/>
    <w:rsid w:val="65DC7D51"/>
    <w:rsid w:val="675564F3"/>
    <w:rsid w:val="696A14D0"/>
    <w:rsid w:val="69AF7B7E"/>
    <w:rsid w:val="6CAE6E57"/>
    <w:rsid w:val="6D535020"/>
    <w:rsid w:val="6ED05EF4"/>
    <w:rsid w:val="70C357A6"/>
    <w:rsid w:val="71A3450D"/>
    <w:rsid w:val="7430688B"/>
    <w:rsid w:val="79627B6B"/>
    <w:rsid w:val="7A900988"/>
    <w:rsid w:val="7B3F2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 fillcolor="white">
      <v:fill color="white"/>
    </o:shapedefaults>
    <o:shapelayout v:ext="edit">
      <o:idmap v:ext="edit" data="1"/>
      <o:rules v:ext="edit">
        <o:r id="V:Rule3" type="connector" idref="#自选图形 6"/>
        <o:r id="V:Rule4" type="connector" idref="#自选图形 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4EF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rsid w:val="00BF4EFC"/>
    <w:pPr>
      <w:spacing w:line="360" w:lineRule="auto"/>
      <w:jc w:val="left"/>
      <w:outlineLvl w:val="1"/>
    </w:pPr>
    <w:rPr>
      <w:rFonts w:ascii="宋体" w:hAnsi="宋体" w:hint="eastAsia"/>
      <w:kern w:val="0"/>
      <w:szCs w:val="36"/>
    </w:rPr>
  </w:style>
  <w:style w:type="paragraph" w:styleId="3">
    <w:name w:val="heading 3"/>
    <w:basedOn w:val="a"/>
    <w:next w:val="a"/>
    <w:qFormat/>
    <w:rsid w:val="00BF4EFC"/>
    <w:pPr>
      <w:spacing w:before="100" w:beforeAutospacing="1" w:after="100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BF4EFC"/>
    <w:rPr>
      <w:rFonts w:ascii="宋体" w:hAnsi="宋体" w:cs="宋体"/>
      <w:szCs w:val="21"/>
      <w:lang w:val="hu-HU" w:eastAsia="hu-HU" w:bidi="hu-HU"/>
    </w:rPr>
  </w:style>
  <w:style w:type="paragraph" w:styleId="a4">
    <w:name w:val="footer"/>
    <w:basedOn w:val="a"/>
    <w:qFormat/>
    <w:rsid w:val="00BF4EF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BF4EF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">
    <w:name w:val="HTML Preformatted"/>
    <w:basedOn w:val="a"/>
    <w:qFormat/>
    <w:rsid w:val="00BF4E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paragraph" w:styleId="a6">
    <w:name w:val="Normal (Web)"/>
    <w:basedOn w:val="a"/>
    <w:qFormat/>
    <w:rsid w:val="00BF4EFC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7">
    <w:name w:val="Emphasis"/>
    <w:basedOn w:val="a0"/>
    <w:qFormat/>
    <w:rsid w:val="00BF4EFC"/>
    <w:rPr>
      <w:i/>
    </w:rPr>
  </w:style>
  <w:style w:type="character" w:styleId="a8">
    <w:name w:val="Hyperlink"/>
    <w:basedOn w:val="a0"/>
    <w:qFormat/>
    <w:rsid w:val="00BF4EFC"/>
    <w:rPr>
      <w:color w:val="0000FF"/>
      <w:u w:val="single"/>
    </w:rPr>
  </w:style>
  <w:style w:type="table" w:styleId="a9">
    <w:name w:val="Table Grid"/>
    <w:basedOn w:val="a1"/>
    <w:qFormat/>
    <w:rsid w:val="00BF4EF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qFormat/>
    <w:rsid w:val="00BF4EFC"/>
    <w:rPr>
      <w:rFonts w:ascii="FZSSK--GBK1-0" w:eastAsia="FZSSK--GBK1-0" w:hAnsi="FZSSK--GBK1-0" w:cs="FZSSK--GBK1-0"/>
      <w:color w:val="000000"/>
      <w:sz w:val="20"/>
      <w:szCs w:val="20"/>
    </w:rPr>
  </w:style>
  <w:style w:type="paragraph" w:customStyle="1" w:styleId="aa">
    <w:name w:val="段"/>
    <w:qFormat/>
    <w:rsid w:val="00BF4EFC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sz w:val="21"/>
    </w:rPr>
  </w:style>
  <w:style w:type="paragraph" w:styleId="ab">
    <w:name w:val="List Paragraph"/>
    <w:basedOn w:val="a"/>
    <w:uiPriority w:val="1"/>
    <w:qFormat/>
    <w:rsid w:val="00BF4EFC"/>
    <w:pPr>
      <w:ind w:left="1130" w:hanging="734"/>
    </w:pPr>
    <w:rPr>
      <w:rFonts w:ascii="宋体" w:hAnsi="宋体" w:cs="宋体"/>
      <w:lang w:val="hu-HU" w:eastAsia="hu-HU" w:bidi="hu-HU"/>
    </w:rPr>
  </w:style>
  <w:style w:type="paragraph" w:customStyle="1" w:styleId="1">
    <w:name w:val="列出段落1"/>
    <w:basedOn w:val="a"/>
    <w:qFormat/>
    <w:rsid w:val="00BF4EFC"/>
    <w:pPr>
      <w:ind w:firstLineChars="200" w:firstLine="420"/>
    </w:pPr>
    <w:rPr>
      <w:szCs w:val="21"/>
    </w:rPr>
  </w:style>
  <w:style w:type="paragraph" w:styleId="ac">
    <w:name w:val="Document Map"/>
    <w:basedOn w:val="a"/>
    <w:link w:val="Char"/>
    <w:rsid w:val="00091C3B"/>
    <w:rPr>
      <w:rFonts w:ascii="宋体"/>
      <w:sz w:val="18"/>
      <w:szCs w:val="18"/>
    </w:rPr>
  </w:style>
  <w:style w:type="character" w:customStyle="1" w:styleId="Char">
    <w:name w:val="文档结构图 Char"/>
    <w:basedOn w:val="a0"/>
    <w:link w:val="ac"/>
    <w:rsid w:val="00091C3B"/>
    <w:rPr>
      <w:rFonts w:ascii="宋体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s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81F0A0-9DC5-46D0-A5D2-5783465E9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4</TotalTime>
  <Pages>8</Pages>
  <Words>767</Words>
  <Characters>4378</Characters>
  <Application>Microsoft Office Word</Application>
  <DocSecurity>0</DocSecurity>
  <Lines>36</Lines>
  <Paragraphs>10</Paragraphs>
  <ScaleCrop>false</ScaleCrop>
  <Company/>
  <LinksUpToDate>false</LinksUpToDate>
  <CharactersWithSpaces>5135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hs;Hongyan</dc:creator>
  <cp:lastModifiedBy>HQL</cp:lastModifiedBy>
  <cp:revision>8</cp:revision>
  <cp:lastPrinted>2018-11-20T06:46:00Z</cp:lastPrinted>
  <dcterms:created xsi:type="dcterms:W3CDTF">2018-11-15T03:09:00Z</dcterms:created>
  <dcterms:modified xsi:type="dcterms:W3CDTF">2020-08-21T01:10:00Z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  <property fmtid="{D5CDD505-2E9C-101B-9397-08002B2CF9AE}" pid="3" name="KSORubyTemplateID" linkTarget="0">
    <vt:lpwstr>6</vt:lpwstr>
  </property>
</Properties>
</file>