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B7" w:rsidRDefault="00B7388C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2061" type="#_x0000_t202" style="position:absolute;left:0;text-align:left;margin-left:-19.1pt;margin-top:35.95pt;width:456.35pt;height:42.8pt;z-index:251658240;mso-position-horizontal-relative:margin;mso-position-vertical-relative:margin" stroked="f">
            <v:textbox inset="0,0,0,0">
              <w:txbxContent>
                <w:p w:rsidR="00C84BB7" w:rsidRDefault="00C87A55">
                  <w:pPr>
                    <w:jc w:val="distribute"/>
                    <w:rPr>
                      <w:rFonts w:ascii="黑体" w:eastAsia="黑体" w:hAnsi="黑体"/>
                      <w:sz w:val="48"/>
                      <w:szCs w:val="48"/>
                    </w:rPr>
                  </w:pPr>
                  <w:r>
                    <w:rPr>
                      <w:rFonts w:ascii="黑体" w:eastAsia="黑体" w:hAnsi="黑体" w:hint="eastAsia"/>
                      <w:sz w:val="48"/>
                      <w:szCs w:val="48"/>
                    </w:rPr>
                    <w:t>绿色食品生产操作规程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00248A" w:rsidP="00C4669A">
      <w:pPr>
        <w:adjustRightInd w:val="0"/>
        <w:snapToGrid w:val="0"/>
        <w:spacing w:line="360" w:lineRule="auto"/>
        <w:jc w:val="right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6"/>
          <w:szCs w:val="36"/>
        </w:rPr>
        <w:t xml:space="preserve">LB/T </w:t>
      </w:r>
      <w:r>
        <w:rPr>
          <w:rFonts w:ascii="黑体" w:eastAsia="黑体" w:hAnsi="黑体" w:cs="Times New Roman" w:hint="eastAsia"/>
          <w:sz w:val="36"/>
          <w:szCs w:val="36"/>
        </w:rPr>
        <w:t>098</w:t>
      </w:r>
      <w:r>
        <w:rPr>
          <w:rFonts w:ascii="黑体" w:eastAsia="黑体" w:hAnsi="黑体" w:cs="Times New Roman"/>
          <w:sz w:val="36"/>
          <w:szCs w:val="36"/>
        </w:rPr>
        <w:t>-20</w: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6" o:spid="_x0000_s2070" type="#_x0000_t32" style="position:absolute;left:0;text-align:left;margin-left:-19.1pt;margin-top:37.5pt;width:456.35pt;height:0;z-index:251668480;mso-position-horizontal-relative:text;mso-position-vertical-relative:text" filled="t"/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polyline id="任意多边形 8" o:spid="_x0000_s2068" style="position:absolute;left:0;text-align:left;z-index:251666432;mso-position-horizontal-relative:text;mso-position-vertical-relative:text;mso-width-relative:page;mso-height-relative:page" points="-19.1pt,68.35pt,436.5pt,68.25pt" coordsize="9112,2" strokecolor="white" strokeweight="1pt">
            <v:path arrowok="t"/>
          </v:polyline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line id="直线 9" o:spid="_x0000_s2067" style="position:absolute;left:0;text-align:left;z-index:251665408;mso-position-horizontal-relative:text;mso-position-vertical-relative:text" from="-19.1pt,72.95pt" to="462.9pt,72.95pt" filled="t" strokecolor="white" strokeweight="1pt"/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shape id="文本框 4" o:spid="_x0000_s2066" type="#_x0000_t202" style="position:absolute;left:0;text-align:left;margin-left:-19.1pt;margin-top:657.1pt;width:481.9pt;height:28.6pt;z-index:251664384;mso-position-horizontal-relative:margin;mso-position-vertical-relative:margin" stroked="f">
            <v:textbox inset="0,0,0,0">
              <w:txbxContent>
                <w:p w:rsidR="00C84BB7" w:rsidRDefault="00C87A55">
                  <w:pPr>
                    <w:pStyle w:val="ab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pacing w:val="71"/>
                      <w:w w:val="100"/>
                      <w:sz w:val="32"/>
                      <w:szCs w:val="32"/>
                    </w:rPr>
                    <w:t>中国绿色食品发展中</w:t>
                  </w:r>
                  <w:r>
                    <w:rPr>
                      <w:rFonts w:asciiTheme="minorEastAsia" w:eastAsiaTheme="minorEastAsia" w:hAnsiTheme="minorEastAsia" w:cs="宋体" w:hint="eastAsia"/>
                      <w:spacing w:val="0"/>
                      <w:w w:val="100"/>
                      <w:sz w:val="32"/>
                      <w:szCs w:val="32"/>
                    </w:rPr>
                    <w:t>心</w:t>
                  </w:r>
                  <w:r>
                    <w:rPr>
                      <w:rFonts w:asciiTheme="minorEastAsia" w:eastAsiaTheme="minorEastAsia" w:hAnsiTheme="minorEastAsia" w:cs="宋体" w:hint="eastAsia"/>
                      <w:spacing w:val="0"/>
                      <w:w w:val="100"/>
                      <w:szCs w:val="28"/>
                    </w:rPr>
                    <w:t xml:space="preserve">  </w:t>
                  </w:r>
                  <w:r>
                    <w:rPr>
                      <w:rStyle w:val="a7"/>
                      <w:rFonts w:asciiTheme="minorEastAsia" w:eastAsiaTheme="minorEastAsia" w:hAnsiTheme="minorEastAsia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line id="直线 11" o:spid="_x0000_s2065" style="position:absolute;left:0;text-align:left;z-index:251663360;mso-position-horizontal-relative:text;mso-position-vertical-relative:text" from="-19.1pt,593.95pt" to="462.9pt,593.95pt" filled="t" strokecolor="white" strokeweight="1pt"/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shape id="文本框 10" o:spid="_x0000_s2064" type="#_x0000_t202" style="position:absolute;left:0;text-align:left;margin-left:303.8pt;margin-top:611.25pt;width:159pt;height:24.6pt;z-index:251662336;mso-position-horizontal-relative:margin;mso-position-vertical-relative:margin" stroked="f">
            <v:textbox inset="0,0,0,0">
              <w:txbxContent>
                <w:p w:rsidR="00C84BB7" w:rsidRDefault="00C4669A">
                  <w:pPr>
                    <w:pStyle w:val="a9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2020-11-01</w:t>
                  </w:r>
                  <w:r w:rsidR="00C87A55">
                    <w:rPr>
                      <w:rFonts w:hint="eastAsia"/>
                      <w:b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shape id="文本框 12" o:spid="_x0000_s2063" type="#_x0000_t202" style="position:absolute;left:0;text-align:left;margin-left:-19.1pt;margin-top:615.75pt;width:159pt;height:24.6pt;z-index:251661312;mso-position-horizontal-relative:margin;mso-position-vertical-relative:margin" stroked="f">
            <v:textbox inset="0,0,0,0">
              <w:txbxContent>
                <w:p w:rsidR="00C84BB7" w:rsidRDefault="00C4669A">
                  <w:pPr>
                    <w:pStyle w:val="aa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2020-08</w:t>
                  </w:r>
                  <w:r w:rsidR="001A23B0">
                    <w:rPr>
                      <w:rFonts w:ascii="黑体" w:hAnsi="黑体" w:cs="黑体" w:hint="eastAsia"/>
                      <w:szCs w:val="28"/>
                    </w:rPr>
                    <w:t>-20</w:t>
                  </w:r>
                  <w:r w:rsidR="00C87A55">
                    <w:rPr>
                      <w:rFonts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B7388C" w:rsidRPr="00B7388C">
        <w:rPr>
          <w:rFonts w:ascii="黑体" w:eastAsia="黑体" w:hAnsi="黑体" w:cs="Times New Roman"/>
          <w:sz w:val="36"/>
          <w:szCs w:val="36"/>
        </w:rPr>
        <w:pict>
          <v:shape id="文本框 13" o:spid="_x0000_s2062" type="#_x0000_t202" style="position:absolute;left:0;text-align:left;margin-left:-19.1pt;margin-top:232.5pt;width:470pt;height:71.25pt;z-index:251660288;mso-position-horizontal-relative:margin;mso-position-vertical-relative:margin" stroked="f">
            <v:textbox inset="0,0,0,0">
              <w:txbxContent>
                <w:p w:rsidR="00C84BB7" w:rsidRDefault="00C87A55" w:rsidP="001A23B0">
                  <w:pPr>
                    <w:pStyle w:val="a8"/>
                    <w:spacing w:beforeLines="50" w:afterLines="50" w:line="480" w:lineRule="auto"/>
                  </w:pPr>
                  <w:r>
                    <w:rPr>
                      <w:rFonts w:hint="eastAsia"/>
                    </w:rPr>
                    <w:t>绿色食品手工挂面生产操作规程</w:t>
                  </w:r>
                </w:p>
              </w:txbxContent>
            </v:textbox>
            <w10:wrap anchorx="margin" anchory="margin"/>
            <w10:anchorlock/>
          </v:shape>
        </w:pict>
      </w:r>
      <w:r w:rsidR="00C4669A">
        <w:rPr>
          <w:rFonts w:ascii="黑体" w:eastAsia="黑体" w:hAnsi="黑体" w:cs="Times New Roman" w:hint="eastAsia"/>
          <w:sz w:val="36"/>
          <w:szCs w:val="36"/>
        </w:rPr>
        <w:t>20</w:t>
      </w: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B7388C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pict>
          <v:shape id="自选图形 5" o:spid="_x0000_s2071" type="#_x0000_t32" style="position:absolute;left:0;text-align:left;margin-left:-23.25pt;margin-top:54.45pt;width:490.5pt;height:0;z-index:251669504" filled="t"/>
        </w:pict>
      </w: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4BB7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C84BB7" w:rsidRDefault="00C87A55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前</w:t>
      </w:r>
      <w:r>
        <w:rPr>
          <w:rFonts w:ascii="Times New Roman" w:eastAsia="黑体" w:hAnsi="Times New Roman"/>
          <w:sz w:val="32"/>
          <w:szCs w:val="32"/>
        </w:rPr>
        <w:t xml:space="preserve">    </w:t>
      </w:r>
      <w:r>
        <w:rPr>
          <w:rFonts w:ascii="Times New Roman" w:eastAsia="黑体" w:hAnsi="Times New Roman"/>
          <w:sz w:val="32"/>
          <w:szCs w:val="32"/>
        </w:rPr>
        <w:t>言</w:t>
      </w:r>
    </w:p>
    <w:p w:rsidR="00C84BB7" w:rsidRDefault="00C84BB7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</w:pPr>
    </w:p>
    <w:p w:rsidR="00C84BB7" w:rsidRDefault="00C87A55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</w:pPr>
      <w:r>
        <w:t>本</w:t>
      </w:r>
      <w:r>
        <w:rPr>
          <w:rFonts w:hint="eastAsia"/>
        </w:rPr>
        <w:t>规程</w:t>
      </w:r>
      <w:r>
        <w:t>中国绿色食品发展中心提出并归口。</w:t>
      </w:r>
    </w:p>
    <w:p w:rsidR="00C84BB7" w:rsidRDefault="00C87A55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</w:pPr>
      <w:r>
        <w:t>本</w:t>
      </w:r>
      <w:r>
        <w:rPr>
          <w:rFonts w:hint="eastAsia"/>
        </w:rPr>
        <w:t>规程</w:t>
      </w:r>
      <w:r>
        <w:t>起草单位：湖南省</w:t>
      </w:r>
      <w:r>
        <w:rPr>
          <w:rFonts w:hint="eastAsia"/>
        </w:rPr>
        <w:t>农产品加工研究所、</w:t>
      </w:r>
      <w:r>
        <w:rPr>
          <w:rFonts w:ascii="宋体" w:hAnsi="宋体" w:hint="eastAsia"/>
        </w:rPr>
        <w:t>中国绿色食品发展中心、克</w:t>
      </w:r>
      <w:proofErr w:type="gramStart"/>
      <w:r>
        <w:rPr>
          <w:rFonts w:ascii="宋体" w:hAnsi="宋体" w:hint="eastAsia"/>
        </w:rPr>
        <w:t>明面业</w:t>
      </w:r>
      <w:proofErr w:type="gramEnd"/>
      <w:r>
        <w:rPr>
          <w:rFonts w:ascii="宋体" w:hAnsi="宋体" w:hint="eastAsia"/>
        </w:rPr>
        <w:t>股份有限公司、河南御麦园食品有限公司</w:t>
      </w:r>
      <w:r>
        <w:t>。</w:t>
      </w:r>
    </w:p>
    <w:p w:rsidR="00C84BB7" w:rsidRDefault="00C87A55">
      <w:pPr>
        <w:pStyle w:val="20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  <w:jc w:val="left"/>
        <w:sectPr w:rsidR="00C84BB7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t>本</w:t>
      </w:r>
      <w:bookmarkStart w:id="0" w:name="OLE_LINK10"/>
      <w:bookmarkStart w:id="1" w:name="OLE_LINK9"/>
      <w:r>
        <w:rPr>
          <w:rFonts w:hint="eastAsia"/>
        </w:rPr>
        <w:t>规程</w:t>
      </w:r>
      <w:r>
        <w:t>主要起草人</w:t>
      </w:r>
      <w:bookmarkEnd w:id="0"/>
      <w:bookmarkEnd w:id="1"/>
      <w:r>
        <w:t>：</w:t>
      </w:r>
      <w:r>
        <w:rPr>
          <w:rFonts w:hint="eastAsia"/>
        </w:rPr>
        <w:t>谢秋涛、袁洪燕、张菊华、李高阳、李林静、李绮丽、张宪、毛利平、张志华。</w:t>
      </w:r>
    </w:p>
    <w:p w:rsidR="00C84BB7" w:rsidRDefault="00C84BB7">
      <w:pPr>
        <w:pStyle w:val="20"/>
        <w:adjustRightInd w:val="0"/>
        <w:snapToGrid w:val="0"/>
        <w:spacing w:line="360" w:lineRule="auto"/>
        <w:ind w:firstLineChars="0" w:firstLine="0"/>
        <w:jc w:val="center"/>
        <w:rPr>
          <w:rFonts w:eastAsia="黑体" w:hAnsi="黑体"/>
          <w:sz w:val="32"/>
          <w:szCs w:val="32"/>
        </w:rPr>
      </w:pPr>
    </w:p>
    <w:p w:rsidR="00C84BB7" w:rsidRDefault="00C87A55">
      <w:pPr>
        <w:pStyle w:val="20"/>
        <w:adjustRightInd w:val="0"/>
        <w:snapToGrid w:val="0"/>
        <w:spacing w:line="360" w:lineRule="auto"/>
        <w:ind w:firstLineChars="0" w:firstLine="0"/>
        <w:jc w:val="center"/>
      </w:pPr>
      <w:r>
        <w:rPr>
          <w:rFonts w:eastAsia="黑体" w:hAnsi="黑体"/>
          <w:sz w:val="32"/>
          <w:szCs w:val="32"/>
        </w:rPr>
        <w:t>绿色食品</w:t>
      </w:r>
      <w:r>
        <w:rPr>
          <w:rFonts w:eastAsia="黑体" w:hAnsi="黑体" w:hint="eastAsia"/>
          <w:sz w:val="32"/>
          <w:szCs w:val="32"/>
        </w:rPr>
        <w:t xml:space="preserve">  </w:t>
      </w:r>
      <w:r>
        <w:rPr>
          <w:rFonts w:eastAsia="黑体" w:hAnsi="黑体" w:hint="eastAsia"/>
          <w:sz w:val="32"/>
          <w:szCs w:val="32"/>
        </w:rPr>
        <w:t>手工</w:t>
      </w:r>
      <w:r>
        <w:rPr>
          <w:rFonts w:eastAsia="黑体" w:hAnsi="黑体"/>
          <w:sz w:val="32"/>
          <w:szCs w:val="32"/>
        </w:rPr>
        <w:t>挂面生产</w:t>
      </w:r>
      <w:r>
        <w:rPr>
          <w:rFonts w:eastAsia="黑体" w:hAnsi="黑体" w:hint="eastAsia"/>
          <w:sz w:val="32"/>
          <w:szCs w:val="32"/>
        </w:rPr>
        <w:t>操作</w:t>
      </w:r>
      <w:r>
        <w:rPr>
          <w:rFonts w:eastAsia="黑体" w:hAnsi="黑体"/>
          <w:sz w:val="32"/>
          <w:szCs w:val="32"/>
        </w:rPr>
        <w:t>规程</w:t>
      </w:r>
    </w:p>
    <w:p w:rsidR="00C84BB7" w:rsidRDefault="00C84BB7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1  </w:t>
      </w:r>
      <w:r>
        <w:rPr>
          <w:rFonts w:ascii="黑体" w:eastAsia="黑体" w:hAnsi="黑体" w:cs="Times New Roman" w:hint="eastAsia"/>
          <w:szCs w:val="21"/>
        </w:rPr>
        <w:t>范围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eastAsiaTheme="minorEastAsia" w:hAnsiTheme="minorHAnsi"/>
        </w:rPr>
      </w:pPr>
      <w:r>
        <w:rPr>
          <w:rFonts w:eastAsiaTheme="minorEastAsia" w:hAnsiTheme="minorHAnsi" w:hint="eastAsia"/>
        </w:rPr>
        <w:t>本规程规定了绿色食品手工挂面的</w:t>
      </w:r>
      <w:r>
        <w:rPr>
          <w:rFonts w:hint="eastAsia"/>
        </w:rPr>
        <w:t>术语和定义、生产过程要求、原料要求、工艺流程及操作方法、生产废弃物处理、包装、运输与贮存、生产档案管理等要求</w:t>
      </w:r>
      <w:r>
        <w:rPr>
          <w:rFonts w:eastAsiaTheme="minorEastAsia" w:hAnsiTheme="minorHAnsi" w:hint="eastAsia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eastAsiaTheme="minorEastAsia" w:hAnsiTheme="minorHAnsi"/>
        </w:rPr>
      </w:pPr>
      <w:r>
        <w:rPr>
          <w:rFonts w:eastAsiaTheme="minorEastAsia" w:hAnsiTheme="minorHAnsi" w:hint="eastAsia"/>
        </w:rPr>
        <w:t>本规程适用于</w:t>
      </w:r>
      <w:r w:rsidR="002802B1">
        <w:t>以小麦粉为主要原料的</w:t>
      </w:r>
      <w:r>
        <w:rPr>
          <w:rFonts w:eastAsiaTheme="minorEastAsia" w:hAnsiTheme="minorHAnsi" w:hint="eastAsia"/>
        </w:rPr>
        <w:t>绿色食品手工挂面的生产加工。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2  规范性引用文件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GB 14880  </w:t>
      </w:r>
      <w:r>
        <w:t>食品安全国家标准</w:t>
      </w:r>
      <w:r>
        <w:rPr>
          <w:rFonts w:hint="eastAsia"/>
        </w:rPr>
        <w:t xml:space="preserve">  </w:t>
      </w:r>
      <w:r>
        <w:rPr>
          <w:rFonts w:hAnsi="宋体"/>
        </w:rPr>
        <w:t>食品营养强化剂使用标准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t>GB 1488</w:t>
      </w:r>
      <w:r>
        <w:rPr>
          <w:rFonts w:hint="eastAsia"/>
        </w:rPr>
        <w:t>1</w:t>
      </w:r>
      <w:r>
        <w:t xml:space="preserve">  </w:t>
      </w:r>
      <w:r>
        <w:t>食品安全国家标准</w:t>
      </w:r>
      <w:r>
        <w:rPr>
          <w:rFonts w:hint="eastAsia"/>
        </w:rPr>
        <w:t xml:space="preserve">  </w:t>
      </w:r>
      <w:r>
        <w:rPr>
          <w:rFonts w:hAnsi="宋体"/>
        </w:rPr>
        <w:t>食品</w:t>
      </w:r>
      <w:r>
        <w:rPr>
          <w:rFonts w:hAnsi="宋体" w:hint="eastAsia"/>
        </w:rPr>
        <w:t>生产</w:t>
      </w:r>
      <w:r>
        <w:rPr>
          <w:rFonts w:hAnsi="宋体"/>
        </w:rPr>
        <w:t>通用卫生规范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 xml:space="preserve">NY/T 391  </w:t>
      </w:r>
      <w:r>
        <w:rPr>
          <w:rFonts w:hint="eastAsia"/>
        </w:rPr>
        <w:t>绿色食品</w:t>
      </w:r>
      <w:r>
        <w:rPr>
          <w:rFonts w:hint="eastAsia"/>
        </w:rPr>
        <w:t xml:space="preserve"> </w:t>
      </w:r>
      <w:r>
        <w:rPr>
          <w:rFonts w:hint="eastAsia"/>
        </w:rPr>
        <w:t>产地环境质量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NY/T 392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食品添加剂使用准则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NY/T 421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小麦及小麦粉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t xml:space="preserve">NY/T 658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包装通用准则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t>NY/T</w:t>
      </w:r>
      <w:r>
        <w:rPr>
          <w:rFonts w:hint="eastAsia"/>
        </w:rPr>
        <w:t xml:space="preserve"> 1040  </w:t>
      </w:r>
      <w:r>
        <w:rPr>
          <w:rFonts w:hint="eastAsia"/>
        </w:rPr>
        <w:t>绿色食品</w:t>
      </w:r>
      <w:r>
        <w:rPr>
          <w:rFonts w:hint="eastAsia"/>
        </w:rPr>
        <w:t xml:space="preserve"> </w:t>
      </w:r>
      <w:r>
        <w:rPr>
          <w:rFonts w:hint="eastAsia"/>
        </w:rPr>
        <w:t>食用盐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t xml:space="preserve">NY/T 1055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产品检验规则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NY/T 1056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贮藏运输准则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t xml:space="preserve">LS/T 3202  </w:t>
      </w:r>
      <w:r>
        <w:rPr>
          <w:rFonts w:hAnsi="宋体"/>
        </w:rPr>
        <w:t>面条用小麦粉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LS/T 3212  </w:t>
      </w:r>
      <w:r>
        <w:rPr>
          <w:rFonts w:hAnsi="宋体"/>
        </w:rPr>
        <w:t>挂面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3  术语和定义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下列术语和定义适用于本文件。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 xml:space="preserve">3.1  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ascii="黑体" w:eastAsia="黑体"/>
        </w:rPr>
      </w:pPr>
      <w:r>
        <w:rPr>
          <w:rFonts w:ascii="黑体" w:eastAsia="黑体" w:hint="eastAsia"/>
        </w:rPr>
        <w:t>手工挂面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以小麦粉为主要原料，添加或不添加辅料，经手工加工而成的挂面。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3.2  </w:t>
      </w:r>
    </w:p>
    <w:p w:rsidR="00C84BB7" w:rsidRDefault="00C87A55">
      <w:pPr>
        <w:adjustRightInd w:val="0"/>
        <w:snapToGrid w:val="0"/>
        <w:spacing w:line="360" w:lineRule="auto"/>
        <w:ind w:firstLineChars="200" w:firstLine="42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绿色食品手工挂面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以手工方式制取并获得绿色食品标志的挂面制品。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4 </w:t>
      </w:r>
      <w:r>
        <w:rPr>
          <w:rFonts w:ascii="黑体" w:eastAsia="黑体" w:hAnsi="Times New Roman" w:cs="Times New Roman"/>
          <w:szCs w:val="21"/>
        </w:rPr>
        <w:t xml:space="preserve"> </w:t>
      </w:r>
      <w:r>
        <w:rPr>
          <w:rFonts w:ascii="黑体" w:eastAsia="黑体" w:hAnsi="Times New Roman" w:cs="Times New Roman" w:hint="eastAsia"/>
          <w:szCs w:val="21"/>
        </w:rPr>
        <w:t>生产</w:t>
      </w:r>
      <w:r>
        <w:rPr>
          <w:rFonts w:ascii="黑体" w:eastAsia="黑体" w:hAnsi="Times New Roman" w:cs="Times New Roman"/>
          <w:szCs w:val="21"/>
        </w:rPr>
        <w:t>过程要求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ascii="黑体" w:eastAsia="黑体"/>
        </w:rPr>
      </w:pPr>
      <w:r>
        <w:rPr>
          <w:rFonts w:hAnsi="宋体" w:hint="eastAsia"/>
        </w:rPr>
        <w:t>绿色食品手工挂面生产加工厂生态环境要求符合</w:t>
      </w:r>
      <w:r>
        <w:rPr>
          <w:rFonts w:hAnsi="宋体" w:hint="eastAsia"/>
        </w:rPr>
        <w:t>NY/T 391</w:t>
      </w:r>
      <w:r>
        <w:rPr>
          <w:rFonts w:hAnsi="宋体" w:hint="eastAsia"/>
        </w:rPr>
        <w:t>的规定，选址及厂区环境、厂房和车间、设施与设备、卫生管理、管理制度和人员等应符合</w:t>
      </w:r>
      <w:r>
        <w:rPr>
          <w:rFonts w:hAnsi="宋体" w:hint="eastAsia"/>
        </w:rPr>
        <w:t>GB 14881</w:t>
      </w:r>
      <w:r>
        <w:rPr>
          <w:rFonts w:hAnsi="宋体" w:hint="eastAsia"/>
        </w:rPr>
        <w:t>的规定。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5  </w:t>
      </w:r>
      <w:r>
        <w:rPr>
          <w:rFonts w:ascii="黑体" w:eastAsia="黑体" w:hAnsi="Times New Roman" w:cs="Times New Roman"/>
          <w:szCs w:val="21"/>
        </w:rPr>
        <w:t>原料要求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5.1  </w:t>
      </w:r>
      <w:r>
        <w:rPr>
          <w:rFonts w:ascii="黑体" w:eastAsia="黑体" w:hAnsi="黑体" w:cs="Times New Roman" w:hint="eastAsia"/>
          <w:szCs w:val="21"/>
        </w:rPr>
        <w:t>原料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小麦</w:t>
      </w:r>
      <w:r>
        <w:rPr>
          <w:rFonts w:hAnsi="宋体" w:hint="eastAsia"/>
        </w:rPr>
        <w:t>及</w:t>
      </w:r>
      <w:r>
        <w:rPr>
          <w:rFonts w:hAnsi="宋体"/>
        </w:rPr>
        <w:t>小麦粉应符合</w:t>
      </w:r>
      <w:r>
        <w:t>NY/T 421</w:t>
      </w:r>
      <w:r>
        <w:rPr>
          <w:rFonts w:hint="eastAsia"/>
        </w:rPr>
        <w:t>、</w:t>
      </w:r>
      <w:r>
        <w:t>LS/T 3202</w:t>
      </w:r>
      <w:r>
        <w:rPr>
          <w:rFonts w:hAnsi="宋体"/>
        </w:rPr>
        <w:t>及</w:t>
      </w:r>
      <w:r>
        <w:rPr>
          <w:rFonts w:hAnsi="宋体" w:hint="eastAsia"/>
        </w:rPr>
        <w:t>相关</w:t>
      </w:r>
      <w:r>
        <w:rPr>
          <w:rFonts w:hAnsi="宋体"/>
        </w:rPr>
        <w:t>绿色食品标准的规定。</w:t>
      </w:r>
      <w:proofErr w:type="gramStart"/>
      <w:r>
        <w:rPr>
          <w:rFonts w:hAnsi="宋体"/>
        </w:rPr>
        <w:t>食用盐应符合</w:t>
      </w:r>
      <w:proofErr w:type="gramEnd"/>
      <w:r>
        <w:rPr>
          <w:rFonts w:hAnsi="宋体"/>
        </w:rPr>
        <w:t>NY/T</w:t>
      </w:r>
      <w:r>
        <w:rPr>
          <w:rFonts w:hAnsi="宋体" w:hint="eastAsia"/>
        </w:rPr>
        <w:t xml:space="preserve"> 1040</w:t>
      </w:r>
      <w:r>
        <w:rPr>
          <w:rFonts w:hAnsi="宋体" w:hint="eastAsia"/>
        </w:rPr>
        <w:t>的要求，其他</w:t>
      </w:r>
      <w:r>
        <w:rPr>
          <w:rFonts w:hAnsi="宋体"/>
        </w:rPr>
        <w:t>辅料的</w:t>
      </w:r>
      <w:r>
        <w:rPr>
          <w:rFonts w:hAnsi="宋体" w:hint="eastAsia"/>
        </w:rPr>
        <w:t>选择</w:t>
      </w:r>
      <w:r>
        <w:rPr>
          <w:rFonts w:hAnsi="宋体"/>
        </w:rPr>
        <w:t>应符合绿色食品</w:t>
      </w:r>
      <w:r w:rsidR="007D468A">
        <w:rPr>
          <w:rFonts w:hAnsi="宋体" w:hint="eastAsia"/>
        </w:rPr>
        <w:t>相关规定</w:t>
      </w:r>
      <w:r>
        <w:rPr>
          <w:rFonts w:hAnsi="宋体"/>
        </w:rPr>
        <w:t>要求</w:t>
      </w:r>
      <w:r>
        <w:rPr>
          <w:rFonts w:hAnsi="宋体" w:hint="eastAsia"/>
        </w:rPr>
        <w:t>。所有</w:t>
      </w:r>
      <w:r>
        <w:rPr>
          <w:rFonts w:hAnsi="宋体"/>
        </w:rPr>
        <w:t>原料</w:t>
      </w:r>
      <w:r>
        <w:rPr>
          <w:rFonts w:hAnsi="宋体" w:hint="eastAsia"/>
        </w:rPr>
        <w:t>应</w:t>
      </w:r>
      <w:r>
        <w:rPr>
          <w:rFonts w:hAnsi="宋体"/>
        </w:rPr>
        <w:t>来自获证绿色食品企业</w:t>
      </w:r>
      <w:r>
        <w:rPr>
          <w:rFonts w:hAnsi="宋体" w:hint="eastAsia"/>
        </w:rPr>
        <w:t>或合作社等主体，或国家级绿色食品原料标准化生产基地，或经绿色食品工作机构认定、按照绿色食品生产方式生产、达到绿色食品标准的自建基地。</w:t>
      </w:r>
      <w:r>
        <w:rPr>
          <w:rFonts w:hAnsi="宋体"/>
        </w:rPr>
        <w:t>不得混入掺假的</w:t>
      </w:r>
      <w:r>
        <w:rPr>
          <w:rFonts w:hAnsi="宋体" w:hint="eastAsia"/>
        </w:rPr>
        <w:t>、</w:t>
      </w:r>
      <w:r>
        <w:rPr>
          <w:rFonts w:hAnsi="宋体"/>
        </w:rPr>
        <w:t>含杂质的以及品质变劣的原料</w:t>
      </w:r>
      <w:r>
        <w:rPr>
          <w:rFonts w:hAnsi="宋体" w:hint="eastAsia"/>
        </w:rPr>
        <w:t>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5.2  食品添加剂和食品营养强化剂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应符合</w:t>
      </w:r>
      <w:r>
        <w:t>NY/T 392</w:t>
      </w:r>
      <w:r>
        <w:rPr>
          <w:rFonts w:hAnsi="宋体"/>
        </w:rPr>
        <w:t>和</w:t>
      </w:r>
      <w:r>
        <w:t>GB 14880</w:t>
      </w:r>
      <w:r>
        <w:rPr>
          <w:rFonts w:hAnsi="宋体"/>
        </w:rPr>
        <w:t>的</w:t>
      </w:r>
      <w:r>
        <w:rPr>
          <w:rFonts w:hAnsi="宋体" w:hint="eastAsia"/>
        </w:rPr>
        <w:t>要求</w:t>
      </w:r>
      <w:r>
        <w:rPr>
          <w:rFonts w:hAnsi="宋体"/>
        </w:rPr>
        <w:t>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5.3  </w:t>
      </w:r>
      <w:r>
        <w:rPr>
          <w:rFonts w:ascii="黑体" w:eastAsia="黑体" w:hAnsi="黑体" w:cs="Times New Roman" w:hint="eastAsia"/>
          <w:szCs w:val="21"/>
        </w:rPr>
        <w:t>加工用水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生产过程中用水应符合</w:t>
      </w:r>
      <w:r>
        <w:t>NY/T 391</w:t>
      </w:r>
      <w:r>
        <w:rPr>
          <w:rFonts w:hAnsi="宋体"/>
        </w:rPr>
        <w:t>的要求，</w:t>
      </w:r>
      <w:r>
        <w:rPr>
          <w:rFonts w:hAnsi="宋体"/>
        </w:rPr>
        <w:t>pH</w:t>
      </w:r>
      <w:r>
        <w:rPr>
          <w:rFonts w:hAnsi="宋体"/>
        </w:rPr>
        <w:t>中性</w:t>
      </w:r>
      <w:r>
        <w:rPr>
          <w:rFonts w:hAnsi="宋体" w:hint="eastAsia"/>
        </w:rPr>
        <w:t>，</w:t>
      </w:r>
      <w:r>
        <w:rPr>
          <w:rFonts w:hAnsi="宋体"/>
        </w:rPr>
        <w:t>硬度不宜超过</w:t>
      </w:r>
      <w:r>
        <w:t>10</w:t>
      </w:r>
      <w:r>
        <w:rPr>
          <w:rFonts w:hAnsi="宋体"/>
        </w:rPr>
        <w:t>度。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  </w:t>
      </w:r>
      <w:r>
        <w:rPr>
          <w:rFonts w:ascii="黑体" w:eastAsia="黑体" w:hAnsi="Times New Roman" w:cs="Times New Roman"/>
          <w:szCs w:val="21"/>
        </w:rPr>
        <w:t>生产工艺及操作方法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手工挂面主要生产工艺流程：和面→熟化（一次醒面）→切面→盘条、绕条→二次醒面→拉面→三次醒面→干燥（晾晒或烘干）→收面→裁切→包装。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 xml:space="preserve">.1 </w:t>
      </w:r>
      <w:r>
        <w:rPr>
          <w:rFonts w:ascii="黑体" w:eastAsia="黑体" w:hAnsi="黑体" w:cs="Times New Roman" w:hint="eastAsia"/>
          <w:szCs w:val="21"/>
        </w:rPr>
        <w:t xml:space="preserve"> </w:t>
      </w:r>
      <w:r>
        <w:rPr>
          <w:rFonts w:ascii="黑体" w:eastAsia="黑体" w:hAnsi="黑体" w:cs="Times New Roman"/>
          <w:szCs w:val="21"/>
        </w:rPr>
        <w:t>和面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6.1.1 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加水量：</w:t>
      </w:r>
      <w:r>
        <w:rPr>
          <w:rFonts w:hAnsi="宋体"/>
        </w:rPr>
        <w:t>为小麦粉质量的</w:t>
      </w:r>
      <w:r>
        <w:rPr>
          <w:rFonts w:hAnsi="宋体" w:hint="eastAsia"/>
        </w:rPr>
        <w:t>25%</w:t>
      </w:r>
      <w:r>
        <w:rPr>
          <w:rFonts w:hAnsi="宋体"/>
        </w:rPr>
        <w:t>～</w:t>
      </w:r>
      <w:r>
        <w:rPr>
          <w:rFonts w:hAnsi="宋体" w:hint="eastAsia"/>
        </w:rPr>
        <w:t>32%</w:t>
      </w:r>
      <w:r>
        <w:rPr>
          <w:rFonts w:hAnsi="宋体" w:hint="eastAsia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6.1.2  </w:t>
      </w:r>
      <w:r>
        <w:rPr>
          <w:rFonts w:hAnsi="宋体" w:hint="eastAsia"/>
        </w:rPr>
        <w:t>食用盐：为小麦粉质量的</w:t>
      </w:r>
      <w:r>
        <w:rPr>
          <w:rFonts w:hAnsi="宋体" w:hint="eastAsia"/>
        </w:rPr>
        <w:t>2%</w:t>
      </w:r>
      <w:r>
        <w:rPr>
          <w:rFonts w:hAnsi="宋体"/>
        </w:rPr>
        <w:t>～</w:t>
      </w:r>
      <w:r>
        <w:rPr>
          <w:rFonts w:hAnsi="宋体" w:hint="eastAsia"/>
        </w:rPr>
        <w:t>5%</w:t>
      </w:r>
      <w:r>
        <w:rPr>
          <w:rFonts w:hAnsi="宋体" w:hint="eastAsia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6.1.3  </w:t>
      </w:r>
      <w:r>
        <w:rPr>
          <w:rFonts w:hAnsi="宋体" w:hint="eastAsia"/>
        </w:rPr>
        <w:t>其他辅料：根据生产需求适量添加。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6.1.4  </w:t>
      </w:r>
      <w:r>
        <w:rPr>
          <w:rFonts w:hAnsi="宋体"/>
        </w:rPr>
        <w:t>和面用水</w:t>
      </w:r>
      <w:r>
        <w:rPr>
          <w:rFonts w:hAnsi="宋体" w:hint="eastAsia"/>
        </w:rPr>
        <w:t>温：</w:t>
      </w:r>
      <w:r>
        <w:t>2</w:t>
      </w:r>
      <w:r>
        <w:rPr>
          <w:rFonts w:hint="eastAsia"/>
        </w:rPr>
        <w:t>0</w:t>
      </w:r>
      <w:r>
        <w:t>℃</w:t>
      </w:r>
      <w:r>
        <w:rPr>
          <w:rFonts w:hAnsi="宋体"/>
        </w:rPr>
        <w:t>～</w:t>
      </w:r>
      <w:r>
        <w:rPr>
          <w:rFonts w:hint="eastAsia"/>
        </w:rPr>
        <w:t>25</w:t>
      </w:r>
      <w:r>
        <w:t>℃</w:t>
      </w:r>
      <w:r>
        <w:rPr>
          <w:rFonts w:hAnsi="宋体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6.1.5  </w:t>
      </w:r>
      <w:r>
        <w:rPr>
          <w:rFonts w:hAnsi="宋体" w:hint="eastAsia"/>
        </w:rPr>
        <w:t>食用盐和可溶性辅料按比例</w:t>
      </w:r>
      <w:r>
        <w:rPr>
          <w:rFonts w:hAnsi="宋体"/>
        </w:rPr>
        <w:t>充分溶解到水中，</w:t>
      </w:r>
      <w:r>
        <w:rPr>
          <w:rFonts w:hAnsi="宋体" w:hint="eastAsia"/>
        </w:rPr>
        <w:t>再</w:t>
      </w:r>
      <w:r>
        <w:rPr>
          <w:rFonts w:hAnsi="宋体"/>
        </w:rPr>
        <w:t>加入小麦粉中进行和面</w:t>
      </w:r>
      <w:r>
        <w:rPr>
          <w:rFonts w:hAnsi="宋体" w:hint="eastAsia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6.1.6  </w:t>
      </w:r>
      <w:r>
        <w:rPr>
          <w:rFonts w:hAnsi="宋体" w:hint="eastAsia"/>
        </w:rPr>
        <w:t>和面时，要反复用力揉和，</w:t>
      </w:r>
      <w:r>
        <w:rPr>
          <w:rFonts w:hAnsi="宋体"/>
        </w:rPr>
        <w:t>干湿适当，不含生粉</w:t>
      </w:r>
      <w:r>
        <w:rPr>
          <w:rFonts w:hAnsi="宋体" w:hint="eastAsia"/>
        </w:rPr>
        <w:t>，不应过硬或过软，直至不粘手，不粘盆为止。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6.2  </w:t>
      </w:r>
      <w:r>
        <w:rPr>
          <w:rFonts w:ascii="黑体" w:eastAsia="黑体" w:hAnsi="黑体" w:cs="Times New Roman" w:hint="eastAsia"/>
          <w:szCs w:val="21"/>
        </w:rPr>
        <w:t>熟化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醒面使面团进一步成熟</w:t>
      </w:r>
      <w:r>
        <w:rPr>
          <w:rFonts w:hAnsi="宋体" w:hint="eastAsia"/>
        </w:rPr>
        <w:t>。</w:t>
      </w:r>
      <w:r>
        <w:rPr>
          <w:rFonts w:hAnsi="宋体"/>
        </w:rPr>
        <w:t>熟化时间</w:t>
      </w:r>
      <w:r>
        <w:rPr>
          <w:rFonts w:hAnsi="宋体" w:hint="eastAsia"/>
        </w:rPr>
        <w:t>30min</w:t>
      </w:r>
      <w:r>
        <w:rPr>
          <w:rFonts w:hAnsi="宋体"/>
        </w:rPr>
        <w:t>～</w:t>
      </w:r>
      <w:r>
        <w:rPr>
          <w:rFonts w:hint="eastAsia"/>
        </w:rPr>
        <w:t>40min</w:t>
      </w:r>
      <w:r>
        <w:rPr>
          <w:rFonts w:hint="eastAsia"/>
        </w:rPr>
        <w:t>，</w:t>
      </w:r>
      <w:r>
        <w:rPr>
          <w:rFonts w:hAnsi="宋体"/>
        </w:rPr>
        <w:t>熟化温度</w:t>
      </w:r>
      <w:r>
        <w:rPr>
          <w:rFonts w:hAnsi="宋体" w:hint="eastAsia"/>
        </w:rPr>
        <w:t>25</w:t>
      </w:r>
      <w:r>
        <w:rPr>
          <w:rFonts w:hAnsi="宋体" w:hint="eastAsia"/>
        </w:rPr>
        <w:t>℃</w:t>
      </w:r>
      <w:r>
        <w:rPr>
          <w:rFonts w:hAnsi="宋体"/>
        </w:rPr>
        <w:t>～</w:t>
      </w:r>
      <w:r>
        <w:rPr>
          <w:rFonts w:hint="eastAsia"/>
        </w:rPr>
        <w:t>30</w:t>
      </w:r>
      <w:r>
        <w:t>℃</w:t>
      </w:r>
      <w:r>
        <w:rPr>
          <w:rFonts w:hAnsi="宋体" w:hint="eastAsia"/>
        </w:rPr>
        <w:t>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6.3  </w:t>
      </w:r>
      <w:r>
        <w:rPr>
          <w:rFonts w:ascii="黑体" w:eastAsia="黑体" w:hAnsi="黑体" w:cs="Times New Roman" w:hint="eastAsia"/>
          <w:szCs w:val="21"/>
        </w:rPr>
        <w:t>切面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将醒好的面团放在面板上，用擀面杖压成</w:t>
      </w:r>
      <w:r>
        <w:rPr>
          <w:rFonts w:hAnsi="宋体" w:hint="eastAsia"/>
        </w:rPr>
        <w:t>2</w:t>
      </w:r>
      <w:r>
        <w:rPr>
          <w:rFonts w:hint="eastAsia"/>
        </w:rPr>
        <w:t>cm</w:t>
      </w:r>
      <w:r>
        <w:rPr>
          <w:rFonts w:hAnsi="宋体"/>
        </w:rPr>
        <w:t>～</w:t>
      </w:r>
      <w:r>
        <w:rPr>
          <w:rFonts w:hint="eastAsia"/>
        </w:rPr>
        <w:t>3cm</w:t>
      </w:r>
      <w:r>
        <w:rPr>
          <w:rFonts w:hAnsi="宋体" w:hint="eastAsia"/>
        </w:rPr>
        <w:t>厚度的面饼，再用快刀将面饼划割成直径</w:t>
      </w:r>
      <w:r>
        <w:rPr>
          <w:rFonts w:hAnsi="宋体" w:hint="eastAsia"/>
        </w:rPr>
        <w:t>2</w:t>
      </w:r>
      <w:r>
        <w:rPr>
          <w:rFonts w:hint="eastAsia"/>
        </w:rPr>
        <w:t>cm</w:t>
      </w:r>
      <w:r>
        <w:rPr>
          <w:rFonts w:hAnsi="宋体"/>
        </w:rPr>
        <w:t>～</w:t>
      </w:r>
      <w:r>
        <w:rPr>
          <w:rFonts w:hint="eastAsia"/>
        </w:rPr>
        <w:t>3cm</w:t>
      </w:r>
      <w:r>
        <w:rPr>
          <w:rFonts w:hAnsi="宋体" w:hint="eastAsia"/>
        </w:rPr>
        <w:t>的圆形长条。连续划割，中途不能停断，随之用手来回反复</w:t>
      </w:r>
      <w:proofErr w:type="gramStart"/>
      <w:r>
        <w:rPr>
          <w:rFonts w:hAnsi="宋体" w:hint="eastAsia"/>
        </w:rPr>
        <w:t>捻</w:t>
      </w:r>
      <w:proofErr w:type="gramEnd"/>
      <w:r>
        <w:rPr>
          <w:rFonts w:hAnsi="宋体" w:hint="eastAsia"/>
        </w:rPr>
        <w:t>搓成直径</w:t>
      </w:r>
      <w:r>
        <w:rPr>
          <w:rFonts w:hAnsi="宋体" w:hint="eastAsia"/>
        </w:rPr>
        <w:t>1</w:t>
      </w:r>
      <w:r>
        <w:rPr>
          <w:rFonts w:hAnsi="宋体"/>
        </w:rPr>
        <w:t>～</w:t>
      </w:r>
      <w:r>
        <w:rPr>
          <w:rFonts w:hAnsi="宋体" w:hint="eastAsia"/>
        </w:rPr>
        <w:t>2cm</w:t>
      </w:r>
      <w:r>
        <w:rPr>
          <w:rFonts w:hAnsi="宋体" w:hint="eastAsia"/>
        </w:rPr>
        <w:t>的圆条。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6.4  </w:t>
      </w:r>
      <w:r>
        <w:rPr>
          <w:rFonts w:ascii="黑体" w:eastAsia="黑体" w:hAnsi="黑体" w:cs="Times New Roman" w:hint="eastAsia"/>
          <w:szCs w:val="21"/>
        </w:rPr>
        <w:t>盘条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将揉搓好的圆条</w:t>
      </w:r>
      <w:proofErr w:type="gramStart"/>
      <w:r>
        <w:rPr>
          <w:rFonts w:hAnsi="宋体" w:hint="eastAsia"/>
        </w:rPr>
        <w:t>层层盘入盆中</w:t>
      </w:r>
      <w:proofErr w:type="gramEnd"/>
      <w:r>
        <w:rPr>
          <w:rFonts w:hAnsi="宋体" w:hint="eastAsia"/>
        </w:rPr>
        <w:t>，捻搓盘条时需要加入面粉，以防条与条之间相互</w:t>
      </w:r>
      <w:proofErr w:type="gramStart"/>
      <w:r>
        <w:rPr>
          <w:rFonts w:hAnsi="宋体" w:hint="eastAsia"/>
        </w:rPr>
        <w:t>黏</w:t>
      </w:r>
      <w:proofErr w:type="gramEnd"/>
      <w:r>
        <w:rPr>
          <w:rFonts w:hAnsi="宋体" w:hint="eastAsia"/>
        </w:rPr>
        <w:t>连。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6.5  </w:t>
      </w:r>
      <w:r>
        <w:rPr>
          <w:rFonts w:ascii="黑体" w:eastAsia="黑体" w:hAnsi="黑体" w:cs="Times New Roman" w:hint="eastAsia"/>
          <w:szCs w:val="21"/>
        </w:rPr>
        <w:t>绕条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把两根</w:t>
      </w:r>
      <w:r>
        <w:rPr>
          <w:rFonts w:hAnsi="宋体" w:hint="eastAsia"/>
        </w:rPr>
        <w:t>65cm</w:t>
      </w:r>
      <w:r>
        <w:rPr>
          <w:rFonts w:hAnsi="宋体" w:hint="eastAsia"/>
        </w:rPr>
        <w:t>长、一指粗的</w:t>
      </w:r>
      <w:proofErr w:type="gramStart"/>
      <w:r>
        <w:rPr>
          <w:rFonts w:hAnsi="宋体" w:hint="eastAsia"/>
        </w:rPr>
        <w:t>扦固定</w:t>
      </w:r>
      <w:proofErr w:type="gramEnd"/>
      <w:r>
        <w:rPr>
          <w:rFonts w:hAnsi="宋体" w:hint="eastAsia"/>
        </w:rPr>
        <w:t>好。将盘好的面交叉地缠绕在扦上，至竹扦绕满为止。绕条时用力要均匀，排列自然有序。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6.6  醒面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将</w:t>
      </w:r>
      <w:proofErr w:type="gramStart"/>
      <w:r>
        <w:rPr>
          <w:rFonts w:hAnsi="宋体" w:hint="eastAsia"/>
        </w:rPr>
        <w:t>绕好的</w:t>
      </w:r>
      <w:proofErr w:type="gramEnd"/>
      <w:r>
        <w:rPr>
          <w:rFonts w:hAnsi="宋体" w:hint="eastAsia"/>
        </w:rPr>
        <w:t>面放入发酵槽中，进行二次醒面，时间</w:t>
      </w:r>
      <w:r>
        <w:rPr>
          <w:rFonts w:hAnsi="宋体" w:hint="eastAsia"/>
        </w:rPr>
        <w:t>25min</w:t>
      </w:r>
      <w:r>
        <w:rPr>
          <w:rFonts w:hAnsi="宋体"/>
        </w:rPr>
        <w:t>～</w:t>
      </w:r>
      <w:r>
        <w:rPr>
          <w:rFonts w:hint="eastAsia"/>
        </w:rPr>
        <w:t>35min</w:t>
      </w:r>
      <w:r>
        <w:rPr>
          <w:rFonts w:hAnsi="宋体" w:hint="eastAsia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温度较低，可延长到</w:t>
      </w:r>
      <w:r>
        <w:rPr>
          <w:rFonts w:hAnsi="宋体" w:hint="eastAsia"/>
        </w:rPr>
        <w:t>50min</w:t>
      </w:r>
      <w:r>
        <w:rPr>
          <w:rFonts w:hAnsi="宋体" w:hint="eastAsia"/>
        </w:rPr>
        <w:t>；温度高则</w:t>
      </w:r>
      <w:r>
        <w:rPr>
          <w:rFonts w:hAnsi="宋体" w:hint="eastAsia"/>
        </w:rPr>
        <w:t>20min</w:t>
      </w:r>
      <w:r>
        <w:rPr>
          <w:rFonts w:hAnsi="宋体" w:hint="eastAsia"/>
        </w:rPr>
        <w:t>即可。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6.7  拉面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将醒好的面，一次拉长，拉制时要平均用力向外慢慢伸张，拉到</w:t>
      </w:r>
      <w:r>
        <w:rPr>
          <w:rFonts w:hAnsi="宋体" w:hint="eastAsia"/>
        </w:rPr>
        <w:t>80cm</w:t>
      </w:r>
      <w:r>
        <w:rPr>
          <w:rFonts w:hAnsi="宋体" w:hint="eastAsia"/>
        </w:rPr>
        <w:t>左右。</w:t>
      </w:r>
    </w:p>
    <w:p w:rsidR="00C84BB7" w:rsidRDefault="00C87A55">
      <w:pPr>
        <w:adjustRightInd w:val="0"/>
        <w:snapToGrid w:val="0"/>
        <w:spacing w:line="360" w:lineRule="auto"/>
        <w:rPr>
          <w:rFonts w:hAnsi="宋体"/>
        </w:rPr>
      </w:pPr>
      <w:r>
        <w:rPr>
          <w:rFonts w:ascii="黑体" w:eastAsia="黑体" w:hAnsi="Times New Roman" w:cs="Times New Roman" w:hint="eastAsia"/>
          <w:szCs w:val="21"/>
        </w:rPr>
        <w:t>6.8  醒面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三次醒面，将拉至</w:t>
      </w:r>
      <w:r>
        <w:rPr>
          <w:rFonts w:hAnsi="宋体" w:hint="eastAsia"/>
        </w:rPr>
        <w:t>80cm</w:t>
      </w:r>
      <w:r>
        <w:rPr>
          <w:rFonts w:hAnsi="宋体" w:hint="eastAsia"/>
        </w:rPr>
        <w:t>的面对折，再次放入发酵槽中，时间</w:t>
      </w:r>
      <w:r>
        <w:rPr>
          <w:rFonts w:hAnsi="宋体" w:hint="eastAsia"/>
        </w:rPr>
        <w:t>25min</w:t>
      </w:r>
      <w:r>
        <w:rPr>
          <w:rFonts w:hAnsi="宋体"/>
        </w:rPr>
        <w:t>～</w:t>
      </w:r>
      <w:r>
        <w:rPr>
          <w:rFonts w:hint="eastAsia"/>
        </w:rPr>
        <w:t>35min</w:t>
      </w:r>
      <w:r>
        <w:rPr>
          <w:rFonts w:hAnsi="宋体" w:hint="eastAsia"/>
        </w:rPr>
        <w:t>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6.9  干燥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上杆，将面条从发酵槽中取出，放置高为</w:t>
      </w:r>
      <w:r>
        <w:rPr>
          <w:rFonts w:hAnsi="宋体" w:hint="eastAsia"/>
        </w:rPr>
        <w:t>2 m</w:t>
      </w:r>
      <w:r>
        <w:rPr>
          <w:rFonts w:hAnsi="宋体" w:hint="eastAsia"/>
        </w:rPr>
        <w:t>的架子上。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二次拉长，将面从架子上垂直下拉至</w:t>
      </w:r>
      <w:r>
        <w:rPr>
          <w:rFonts w:hAnsi="宋体" w:hint="eastAsia"/>
        </w:rPr>
        <w:t>1.8 m</w:t>
      </w:r>
      <w:r>
        <w:rPr>
          <w:rFonts w:hAnsi="宋体" w:hint="eastAsia"/>
        </w:rPr>
        <w:t>长，进行晾晒或烘干。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6.10  收面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下杆，将干燥后的手工挂面取下。</w:t>
      </w:r>
      <w:bookmarkStart w:id="2" w:name="_GoBack"/>
      <w:bookmarkEnd w:id="2"/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6.11  裁切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根据需求的规格进行裁切。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6.12  包装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称量后包装，得成品。</w:t>
      </w:r>
    </w:p>
    <w:p w:rsidR="00C84BB7" w:rsidRDefault="00C87A55">
      <w:pPr>
        <w:adjustRightInd w:val="0"/>
        <w:snapToGrid w:val="0"/>
        <w:spacing w:line="360" w:lineRule="auto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6.13  检验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应符合</w:t>
      </w:r>
      <w:r>
        <w:rPr>
          <w:rFonts w:hAnsi="宋体"/>
        </w:rPr>
        <w:t>NY/T 1055</w:t>
      </w:r>
      <w:r>
        <w:rPr>
          <w:rFonts w:hAnsi="宋体"/>
        </w:rPr>
        <w:t>和</w:t>
      </w:r>
      <w:r>
        <w:rPr>
          <w:rFonts w:hAnsi="宋体"/>
        </w:rPr>
        <w:t>LS/T 3212</w:t>
      </w:r>
      <w:r>
        <w:rPr>
          <w:rFonts w:hAnsi="宋体"/>
        </w:rPr>
        <w:t>的要求</w:t>
      </w:r>
      <w:r>
        <w:rPr>
          <w:rFonts w:hAnsi="宋体" w:hint="eastAsia"/>
        </w:rPr>
        <w:t>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7  生产废弃物的处理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>在挂面生产各环节产生的不可再利用的物料，及时收集，进行无害化处理；生产过程产生的破损包材、清洁用品、破损工具等废弃物，及时清理，分类收集，及时转运，资源化回收利用或无害化</w:t>
      </w:r>
      <w:r>
        <w:rPr>
          <w:rFonts w:hAnsi="宋体"/>
        </w:rPr>
        <w:t>处理</w:t>
      </w:r>
      <w:r>
        <w:rPr>
          <w:rFonts w:hAnsi="宋体" w:hint="eastAsia"/>
        </w:rPr>
        <w:t>，</w:t>
      </w:r>
      <w:r>
        <w:rPr>
          <w:rFonts w:hAnsi="宋体"/>
        </w:rPr>
        <w:t>不形成</w:t>
      </w:r>
      <w:r>
        <w:rPr>
          <w:rFonts w:hAnsi="宋体" w:hint="eastAsia"/>
        </w:rPr>
        <w:t>环境</w:t>
      </w:r>
      <w:r>
        <w:rPr>
          <w:rFonts w:hAnsi="宋体"/>
        </w:rPr>
        <w:t>污染</w:t>
      </w:r>
      <w:r>
        <w:rPr>
          <w:rFonts w:hAnsi="宋体" w:hint="eastAsia"/>
        </w:rPr>
        <w:t>，</w:t>
      </w:r>
      <w:r>
        <w:rPr>
          <w:rFonts w:hAnsi="宋体"/>
        </w:rPr>
        <w:t>并做好处理记录</w:t>
      </w:r>
      <w:r>
        <w:rPr>
          <w:rFonts w:hAnsi="宋体" w:hint="eastAsia"/>
        </w:rPr>
        <w:t>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8  包装、运输与贮存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 xml:space="preserve">8.1  </w:t>
      </w:r>
      <w:r>
        <w:rPr>
          <w:rFonts w:ascii="黑体" w:eastAsia="黑体" w:hAnsi="黑体" w:hint="eastAsia"/>
        </w:rPr>
        <w:t>包装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包装材料、容器和标志、标签等应符合</w:t>
      </w:r>
      <w:r>
        <w:t>NY/T 658</w:t>
      </w:r>
      <w:r>
        <w:rPr>
          <w:rFonts w:hAnsi="宋体" w:hint="eastAsia"/>
        </w:rPr>
        <w:t>的要求</w:t>
      </w:r>
      <w:r>
        <w:rPr>
          <w:rFonts w:hAnsi="宋体"/>
        </w:rPr>
        <w:t>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 xml:space="preserve">8.2  </w:t>
      </w:r>
      <w:r>
        <w:rPr>
          <w:rFonts w:ascii="黑体" w:eastAsia="黑体" w:hAnsi="黑体" w:hint="eastAsia"/>
        </w:rPr>
        <w:t>运输与贮存</w:t>
      </w:r>
    </w:p>
    <w:p w:rsidR="00C84BB7" w:rsidRDefault="00C87A55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产品运输、</w:t>
      </w:r>
      <w:r>
        <w:rPr>
          <w:rFonts w:hAnsi="宋体" w:hint="eastAsia"/>
        </w:rPr>
        <w:t>贮藏</w:t>
      </w:r>
      <w:r>
        <w:rPr>
          <w:rFonts w:hAnsi="宋体"/>
        </w:rPr>
        <w:t>应符合</w:t>
      </w:r>
      <w:r>
        <w:t>NY/T 1056</w:t>
      </w:r>
      <w:r>
        <w:rPr>
          <w:rFonts w:hAnsi="宋体"/>
        </w:rPr>
        <w:t>的</w:t>
      </w:r>
      <w:r>
        <w:rPr>
          <w:rFonts w:hAnsi="宋体" w:hint="eastAsia"/>
        </w:rPr>
        <w:t>要求</w:t>
      </w:r>
      <w:r>
        <w:rPr>
          <w:rFonts w:hAnsi="宋体"/>
        </w:rPr>
        <w:t>。</w:t>
      </w:r>
    </w:p>
    <w:p w:rsidR="00C84BB7" w:rsidRDefault="00C87A55" w:rsidP="00C4669A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9  生产档案管理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9.1  </w:t>
      </w:r>
      <w:r>
        <w:rPr>
          <w:rFonts w:hAnsi="宋体" w:hint="eastAsia"/>
        </w:rPr>
        <w:t>挂面加工企业应建立绿色食品机械挂面生产档案。档案内容包括质量管理体系文件、生产加工计划、产地合同、生产加工数量、生产过程控制、产品检测报告、人员健康体检报告与应急情况处理等控制文件。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9.2  </w:t>
      </w:r>
      <w:r>
        <w:rPr>
          <w:rFonts w:asciiTheme="minorEastAsia" w:eastAsiaTheme="minorEastAsia" w:hAnsiTheme="minorEastAsia" w:hint="eastAsia"/>
        </w:rPr>
        <w:t>应</w:t>
      </w:r>
      <w:r>
        <w:rPr>
          <w:rFonts w:hAnsi="宋体" w:hint="eastAsia"/>
        </w:rPr>
        <w:t>建立可追溯体系。采购、加工、贮藏、检验、销售等环节，有完整的、真实的、连续的、可追踪的生产批号系统，根据批号系统能查询到完整的档案记录。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9.3  </w:t>
      </w:r>
      <w:r>
        <w:rPr>
          <w:rFonts w:hAnsi="宋体" w:hint="eastAsia"/>
        </w:rPr>
        <w:t>所有记录应完整、真实、规范、字迹清楚。</w:t>
      </w:r>
      <w:r>
        <w:rPr>
          <w:rFonts w:hAnsi="宋体" w:hint="eastAsia"/>
        </w:rPr>
        <w:t xml:space="preserve"> </w:t>
      </w:r>
    </w:p>
    <w:p w:rsidR="00C84BB7" w:rsidRDefault="00C87A55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9.4  </w:t>
      </w:r>
      <w:r>
        <w:rPr>
          <w:rFonts w:hAnsi="宋体" w:hint="eastAsia"/>
        </w:rPr>
        <w:t>档案记录应保存</w:t>
      </w:r>
      <w:r>
        <w:rPr>
          <w:rFonts w:hAnsi="宋体"/>
        </w:rPr>
        <w:t>3</w:t>
      </w:r>
      <w:r>
        <w:rPr>
          <w:rFonts w:hAnsi="宋体" w:hint="eastAsia"/>
        </w:rPr>
        <w:t>年以上，档案资料由专人保管。</w:t>
      </w:r>
    </w:p>
    <w:p w:rsidR="00C84BB7" w:rsidRDefault="00B7388C">
      <w:pPr>
        <w:pStyle w:val="1"/>
        <w:adjustRightInd w:val="0"/>
        <w:snapToGrid w:val="0"/>
        <w:spacing w:line="360" w:lineRule="auto"/>
        <w:ind w:firstLineChars="0" w:firstLine="0"/>
        <w:contextualSpacing/>
      </w:pPr>
      <w:r>
        <w:pict>
          <v:shape id="自选图形 26" o:spid="_x0000_s2073" type="#_x0000_t32" style="position:absolute;left:0;text-align:left;margin-left:147.4pt;margin-top:16.4pt;width:120.45pt;height:0;z-index:251670528" o:connectortype="straight" strokeweight="1pt"/>
        </w:pict>
      </w:r>
    </w:p>
    <w:sectPr w:rsidR="00C84BB7" w:rsidSect="00C84BB7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D63" w:rsidRDefault="00D15D63" w:rsidP="00C84BB7">
      <w:r>
        <w:separator/>
      </w:r>
    </w:p>
  </w:endnote>
  <w:endnote w:type="continuationSeparator" w:id="0">
    <w:p w:rsidR="00D15D63" w:rsidRDefault="00D15D63" w:rsidP="00C84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B7" w:rsidRDefault="00C84BB7">
    <w:pPr>
      <w:pStyle w:val="a4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403002"/>
    </w:sdtPr>
    <w:sdtContent>
      <w:p w:rsidR="00C84BB7" w:rsidRDefault="00B7388C">
        <w:pPr>
          <w:pStyle w:val="a4"/>
          <w:jc w:val="center"/>
        </w:pPr>
        <w:r>
          <w:rPr>
            <w:rFonts w:ascii="Times New Roman" w:hAnsi="Times New Roman" w:cs="Times New Roman"/>
          </w:rPr>
          <w:fldChar w:fldCharType="begin"/>
        </w:r>
        <w:r w:rsidR="00C87A55"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1A23B0" w:rsidRPr="001A23B0">
          <w:rPr>
            <w:rFonts w:ascii="Times New Roman" w:hAnsi="Times New Roman" w:cs="Times New Roman"/>
            <w:noProof/>
            <w:lang w:val="zh-CN"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D63" w:rsidRDefault="00D15D63" w:rsidP="00C84BB7">
      <w:r>
        <w:separator/>
      </w:r>
    </w:p>
  </w:footnote>
  <w:footnote w:type="continuationSeparator" w:id="0">
    <w:p w:rsidR="00D15D63" w:rsidRDefault="00D15D63" w:rsidP="00C84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B7" w:rsidRDefault="00C84BB7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none"/>
      <w:lvlText w:val=""/>
      <w:lvlJc w:val="left"/>
      <w:pPr>
        <w:tabs>
          <w:tab w:val="left" w:pos="360"/>
        </w:tabs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1"/>
        <w:szCs w:val="0"/>
        <w:u w:val="none"/>
        <w:vertAlign w:val="baseline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82D"/>
    <w:rsid w:val="0000248A"/>
    <w:rsid w:val="00020509"/>
    <w:rsid w:val="00021D53"/>
    <w:rsid w:val="00026198"/>
    <w:rsid w:val="0002711B"/>
    <w:rsid w:val="000279D0"/>
    <w:rsid w:val="000302B5"/>
    <w:rsid w:val="00032A5C"/>
    <w:rsid w:val="00036E3F"/>
    <w:rsid w:val="00042B70"/>
    <w:rsid w:val="0004726F"/>
    <w:rsid w:val="00051C6E"/>
    <w:rsid w:val="0005457E"/>
    <w:rsid w:val="00073B59"/>
    <w:rsid w:val="00076E27"/>
    <w:rsid w:val="00077127"/>
    <w:rsid w:val="00093238"/>
    <w:rsid w:val="000A29DC"/>
    <w:rsid w:val="000B2045"/>
    <w:rsid w:val="000C1178"/>
    <w:rsid w:val="000C2F52"/>
    <w:rsid w:val="000C327F"/>
    <w:rsid w:val="000C621E"/>
    <w:rsid w:val="000D05C3"/>
    <w:rsid w:val="000D63AC"/>
    <w:rsid w:val="000E49EA"/>
    <w:rsid w:val="00103CD4"/>
    <w:rsid w:val="00106A59"/>
    <w:rsid w:val="00115A03"/>
    <w:rsid w:val="00124CD8"/>
    <w:rsid w:val="001335EC"/>
    <w:rsid w:val="001437D2"/>
    <w:rsid w:val="00147B4E"/>
    <w:rsid w:val="00161439"/>
    <w:rsid w:val="00162232"/>
    <w:rsid w:val="001652BB"/>
    <w:rsid w:val="00166EEC"/>
    <w:rsid w:val="0018030F"/>
    <w:rsid w:val="00185175"/>
    <w:rsid w:val="00190021"/>
    <w:rsid w:val="00193CA5"/>
    <w:rsid w:val="00195DDF"/>
    <w:rsid w:val="001963C4"/>
    <w:rsid w:val="001A074D"/>
    <w:rsid w:val="001A23B0"/>
    <w:rsid w:val="001A6FE2"/>
    <w:rsid w:val="001B64C7"/>
    <w:rsid w:val="001C1368"/>
    <w:rsid w:val="001D55FF"/>
    <w:rsid w:val="001E4ED0"/>
    <w:rsid w:val="001E69D0"/>
    <w:rsid w:val="001F166F"/>
    <w:rsid w:val="001F18CE"/>
    <w:rsid w:val="00213B3D"/>
    <w:rsid w:val="00222E1E"/>
    <w:rsid w:val="0023657E"/>
    <w:rsid w:val="002579F9"/>
    <w:rsid w:val="00273F3C"/>
    <w:rsid w:val="002752DB"/>
    <w:rsid w:val="00275930"/>
    <w:rsid w:val="002802B1"/>
    <w:rsid w:val="00281340"/>
    <w:rsid w:val="00291A6C"/>
    <w:rsid w:val="00292C46"/>
    <w:rsid w:val="002A0D02"/>
    <w:rsid w:val="002B400C"/>
    <w:rsid w:val="002C78B7"/>
    <w:rsid w:val="002D4468"/>
    <w:rsid w:val="002E46C4"/>
    <w:rsid w:val="002F0DEE"/>
    <w:rsid w:val="003205E7"/>
    <w:rsid w:val="00321BA4"/>
    <w:rsid w:val="00330B3F"/>
    <w:rsid w:val="00335918"/>
    <w:rsid w:val="003537DC"/>
    <w:rsid w:val="003661F6"/>
    <w:rsid w:val="00371B15"/>
    <w:rsid w:val="00381ABC"/>
    <w:rsid w:val="0038397C"/>
    <w:rsid w:val="003859DD"/>
    <w:rsid w:val="003925DF"/>
    <w:rsid w:val="00393C4D"/>
    <w:rsid w:val="0039401D"/>
    <w:rsid w:val="003977AD"/>
    <w:rsid w:val="003A132A"/>
    <w:rsid w:val="003A5EBF"/>
    <w:rsid w:val="003B082F"/>
    <w:rsid w:val="003B5773"/>
    <w:rsid w:val="003B5AB0"/>
    <w:rsid w:val="003C2641"/>
    <w:rsid w:val="003E0921"/>
    <w:rsid w:val="003E34D4"/>
    <w:rsid w:val="00403375"/>
    <w:rsid w:val="00413033"/>
    <w:rsid w:val="004215DB"/>
    <w:rsid w:val="00445A6C"/>
    <w:rsid w:val="0045195E"/>
    <w:rsid w:val="00463D04"/>
    <w:rsid w:val="0046427E"/>
    <w:rsid w:val="00466DCB"/>
    <w:rsid w:val="0047392C"/>
    <w:rsid w:val="00484FF0"/>
    <w:rsid w:val="0048650B"/>
    <w:rsid w:val="00496DC1"/>
    <w:rsid w:val="004A76F1"/>
    <w:rsid w:val="004B0B8A"/>
    <w:rsid w:val="004B36EC"/>
    <w:rsid w:val="004F37DB"/>
    <w:rsid w:val="00501636"/>
    <w:rsid w:val="0051515F"/>
    <w:rsid w:val="00521890"/>
    <w:rsid w:val="00524A41"/>
    <w:rsid w:val="00535751"/>
    <w:rsid w:val="00537675"/>
    <w:rsid w:val="005440F7"/>
    <w:rsid w:val="00546850"/>
    <w:rsid w:val="0055591E"/>
    <w:rsid w:val="005639A6"/>
    <w:rsid w:val="00581F96"/>
    <w:rsid w:val="005868AB"/>
    <w:rsid w:val="005916ED"/>
    <w:rsid w:val="005A5A1F"/>
    <w:rsid w:val="005D653C"/>
    <w:rsid w:val="005D792C"/>
    <w:rsid w:val="006041CE"/>
    <w:rsid w:val="00605BB9"/>
    <w:rsid w:val="006270FB"/>
    <w:rsid w:val="00627FD8"/>
    <w:rsid w:val="00641C83"/>
    <w:rsid w:val="00654518"/>
    <w:rsid w:val="006546E4"/>
    <w:rsid w:val="00654A67"/>
    <w:rsid w:val="00655057"/>
    <w:rsid w:val="00660942"/>
    <w:rsid w:val="0066322F"/>
    <w:rsid w:val="00663FA1"/>
    <w:rsid w:val="006704D4"/>
    <w:rsid w:val="00692D98"/>
    <w:rsid w:val="00697D5B"/>
    <w:rsid w:val="006B0895"/>
    <w:rsid w:val="006B5731"/>
    <w:rsid w:val="006C406E"/>
    <w:rsid w:val="006D3067"/>
    <w:rsid w:val="006E298A"/>
    <w:rsid w:val="006E2D62"/>
    <w:rsid w:val="006E6550"/>
    <w:rsid w:val="006F732B"/>
    <w:rsid w:val="007254EE"/>
    <w:rsid w:val="0073096F"/>
    <w:rsid w:val="007316B5"/>
    <w:rsid w:val="007430DC"/>
    <w:rsid w:val="007443EA"/>
    <w:rsid w:val="00754E28"/>
    <w:rsid w:val="0075518A"/>
    <w:rsid w:val="0075714D"/>
    <w:rsid w:val="007629AF"/>
    <w:rsid w:val="0077592A"/>
    <w:rsid w:val="00775FB2"/>
    <w:rsid w:val="00782DBD"/>
    <w:rsid w:val="007905EA"/>
    <w:rsid w:val="00790A5A"/>
    <w:rsid w:val="007A04F1"/>
    <w:rsid w:val="007B300C"/>
    <w:rsid w:val="007B5A60"/>
    <w:rsid w:val="007D082D"/>
    <w:rsid w:val="007D468A"/>
    <w:rsid w:val="007D5F97"/>
    <w:rsid w:val="007D7D79"/>
    <w:rsid w:val="007F132E"/>
    <w:rsid w:val="007F703F"/>
    <w:rsid w:val="007F736F"/>
    <w:rsid w:val="00802077"/>
    <w:rsid w:val="00825281"/>
    <w:rsid w:val="00835D60"/>
    <w:rsid w:val="00840937"/>
    <w:rsid w:val="0084209C"/>
    <w:rsid w:val="00850342"/>
    <w:rsid w:val="008511FF"/>
    <w:rsid w:val="008531E2"/>
    <w:rsid w:val="00853BC0"/>
    <w:rsid w:val="00856465"/>
    <w:rsid w:val="008643C4"/>
    <w:rsid w:val="00892881"/>
    <w:rsid w:val="008935B6"/>
    <w:rsid w:val="00896145"/>
    <w:rsid w:val="00897564"/>
    <w:rsid w:val="008B0DE5"/>
    <w:rsid w:val="008C1A04"/>
    <w:rsid w:val="008C41C8"/>
    <w:rsid w:val="008C7CCF"/>
    <w:rsid w:val="008D193C"/>
    <w:rsid w:val="008D2B0B"/>
    <w:rsid w:val="008D37E3"/>
    <w:rsid w:val="009310D1"/>
    <w:rsid w:val="00933DD0"/>
    <w:rsid w:val="00942232"/>
    <w:rsid w:val="009665B2"/>
    <w:rsid w:val="009869BD"/>
    <w:rsid w:val="009970A4"/>
    <w:rsid w:val="009B4281"/>
    <w:rsid w:val="009C2A24"/>
    <w:rsid w:val="009D0214"/>
    <w:rsid w:val="009D5887"/>
    <w:rsid w:val="009D5A30"/>
    <w:rsid w:val="009E1884"/>
    <w:rsid w:val="009E1AC0"/>
    <w:rsid w:val="009F3B9E"/>
    <w:rsid w:val="009F4AD0"/>
    <w:rsid w:val="009F6916"/>
    <w:rsid w:val="00A16667"/>
    <w:rsid w:val="00A23B99"/>
    <w:rsid w:val="00A34831"/>
    <w:rsid w:val="00A40926"/>
    <w:rsid w:val="00A42B81"/>
    <w:rsid w:val="00A76976"/>
    <w:rsid w:val="00AA09FE"/>
    <w:rsid w:val="00AA18E8"/>
    <w:rsid w:val="00AB219B"/>
    <w:rsid w:val="00AB4B87"/>
    <w:rsid w:val="00AC3DE0"/>
    <w:rsid w:val="00AD637B"/>
    <w:rsid w:val="00AE0EC9"/>
    <w:rsid w:val="00AE6329"/>
    <w:rsid w:val="00AF2726"/>
    <w:rsid w:val="00AF2D78"/>
    <w:rsid w:val="00B03071"/>
    <w:rsid w:val="00B10D04"/>
    <w:rsid w:val="00B13298"/>
    <w:rsid w:val="00B155A8"/>
    <w:rsid w:val="00B364F9"/>
    <w:rsid w:val="00B410BC"/>
    <w:rsid w:val="00B41861"/>
    <w:rsid w:val="00B506D1"/>
    <w:rsid w:val="00B5683C"/>
    <w:rsid w:val="00B649CD"/>
    <w:rsid w:val="00B65CE0"/>
    <w:rsid w:val="00B7388C"/>
    <w:rsid w:val="00B7770C"/>
    <w:rsid w:val="00B86E51"/>
    <w:rsid w:val="00B95FE4"/>
    <w:rsid w:val="00BA00AB"/>
    <w:rsid w:val="00BA052E"/>
    <w:rsid w:val="00BA7101"/>
    <w:rsid w:val="00BC00EC"/>
    <w:rsid w:val="00BD635E"/>
    <w:rsid w:val="00BF3A7A"/>
    <w:rsid w:val="00C0023F"/>
    <w:rsid w:val="00C4306D"/>
    <w:rsid w:val="00C4669A"/>
    <w:rsid w:val="00C579D3"/>
    <w:rsid w:val="00C60B30"/>
    <w:rsid w:val="00C615F0"/>
    <w:rsid w:val="00C67F1B"/>
    <w:rsid w:val="00C83387"/>
    <w:rsid w:val="00C84BB7"/>
    <w:rsid w:val="00C87A55"/>
    <w:rsid w:val="00C91419"/>
    <w:rsid w:val="00C92C2E"/>
    <w:rsid w:val="00C93FC8"/>
    <w:rsid w:val="00C9470E"/>
    <w:rsid w:val="00C97132"/>
    <w:rsid w:val="00CD0B1C"/>
    <w:rsid w:val="00CD5F40"/>
    <w:rsid w:val="00CE5654"/>
    <w:rsid w:val="00CE621F"/>
    <w:rsid w:val="00D15D63"/>
    <w:rsid w:val="00D2179E"/>
    <w:rsid w:val="00D24D0F"/>
    <w:rsid w:val="00D273DA"/>
    <w:rsid w:val="00D31D36"/>
    <w:rsid w:val="00D31ED6"/>
    <w:rsid w:val="00D33784"/>
    <w:rsid w:val="00D37B14"/>
    <w:rsid w:val="00D45386"/>
    <w:rsid w:val="00D530EE"/>
    <w:rsid w:val="00D72BEC"/>
    <w:rsid w:val="00D902E9"/>
    <w:rsid w:val="00D9228B"/>
    <w:rsid w:val="00DA254C"/>
    <w:rsid w:val="00DA3AC7"/>
    <w:rsid w:val="00DA5B00"/>
    <w:rsid w:val="00DA799C"/>
    <w:rsid w:val="00DB17CB"/>
    <w:rsid w:val="00DB49B5"/>
    <w:rsid w:val="00DD1A82"/>
    <w:rsid w:val="00E0047D"/>
    <w:rsid w:val="00E04107"/>
    <w:rsid w:val="00E058CA"/>
    <w:rsid w:val="00E07AA2"/>
    <w:rsid w:val="00E16E0D"/>
    <w:rsid w:val="00E24CFA"/>
    <w:rsid w:val="00E26A05"/>
    <w:rsid w:val="00E404DF"/>
    <w:rsid w:val="00E700CC"/>
    <w:rsid w:val="00E74FD1"/>
    <w:rsid w:val="00E853CB"/>
    <w:rsid w:val="00E97562"/>
    <w:rsid w:val="00EA2410"/>
    <w:rsid w:val="00EB6D8B"/>
    <w:rsid w:val="00EB7786"/>
    <w:rsid w:val="00EC3C6F"/>
    <w:rsid w:val="00EC75D4"/>
    <w:rsid w:val="00ED0BDC"/>
    <w:rsid w:val="00EE5FD5"/>
    <w:rsid w:val="00EF3BFB"/>
    <w:rsid w:val="00F12598"/>
    <w:rsid w:val="00F23B8B"/>
    <w:rsid w:val="00F41F15"/>
    <w:rsid w:val="00F44929"/>
    <w:rsid w:val="00F46BC8"/>
    <w:rsid w:val="00F534DE"/>
    <w:rsid w:val="00F642B8"/>
    <w:rsid w:val="00F72D40"/>
    <w:rsid w:val="00F8015C"/>
    <w:rsid w:val="00F95851"/>
    <w:rsid w:val="00FA7285"/>
    <w:rsid w:val="00FB2482"/>
    <w:rsid w:val="00FB5534"/>
    <w:rsid w:val="00FB62F0"/>
    <w:rsid w:val="00FB7455"/>
    <w:rsid w:val="00FC3FA9"/>
    <w:rsid w:val="00FC77C6"/>
    <w:rsid w:val="00FD370D"/>
    <w:rsid w:val="00FE2B74"/>
    <w:rsid w:val="00FF4FB7"/>
    <w:rsid w:val="1F77143C"/>
    <w:rsid w:val="670E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2"/>
      <o:rules v:ext="edit">
        <o:r id="V:Rule4" type="connector" idref="#自选图形 6"/>
        <o:r id="V:Rule5" type="connector" idref="#自选图形 26"/>
        <o:r id="V:Rule6" type="connector" idref="#自选图形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84B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C84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84B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C84BB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84BB7"/>
    <w:rPr>
      <w:sz w:val="18"/>
      <w:szCs w:val="18"/>
    </w:rPr>
  </w:style>
  <w:style w:type="paragraph" w:customStyle="1" w:styleId="1">
    <w:name w:val="列出段落1"/>
    <w:basedOn w:val="a"/>
    <w:qFormat/>
    <w:rsid w:val="00C84BB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customStyle="1" w:styleId="10">
    <w:name w:val="浅色底纹1"/>
    <w:basedOn w:val="a1"/>
    <w:uiPriority w:val="60"/>
    <w:qFormat/>
    <w:rsid w:val="00C84BB7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">
    <w:name w:val="浅色底纹2"/>
    <w:basedOn w:val="a1"/>
    <w:uiPriority w:val="60"/>
    <w:qFormat/>
    <w:rsid w:val="00C84BB7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Char">
    <w:name w:val="批注框文本 Char"/>
    <w:basedOn w:val="a0"/>
    <w:link w:val="a3"/>
    <w:uiPriority w:val="99"/>
    <w:semiHidden/>
    <w:qFormat/>
    <w:rsid w:val="00C84BB7"/>
    <w:rPr>
      <w:sz w:val="18"/>
      <w:szCs w:val="18"/>
    </w:rPr>
  </w:style>
  <w:style w:type="character" w:customStyle="1" w:styleId="a7">
    <w:name w:val="发布"/>
    <w:basedOn w:val="a0"/>
    <w:qFormat/>
    <w:rsid w:val="00C84BB7"/>
    <w:rPr>
      <w:rFonts w:ascii="黑体" w:eastAsia="黑体" w:hAnsi="Times New Roman" w:cs="Times New Roman"/>
      <w:spacing w:val="85"/>
      <w:w w:val="100"/>
      <w:position w:val="3"/>
      <w:sz w:val="28"/>
      <w:szCs w:val="28"/>
    </w:rPr>
  </w:style>
  <w:style w:type="paragraph" w:customStyle="1" w:styleId="a8">
    <w:name w:val="封面标准名称"/>
    <w:qFormat/>
    <w:rsid w:val="00C84BB7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9">
    <w:name w:val="实施日期"/>
    <w:basedOn w:val="aa"/>
    <w:qFormat/>
    <w:rsid w:val="00C84BB7"/>
    <w:pPr>
      <w:framePr w:wrap="around" w:vAnchor="page" w:hAnchor="text"/>
      <w:jc w:val="right"/>
    </w:pPr>
    <w:rPr>
      <w:rFonts w:eastAsia="宋体"/>
    </w:rPr>
  </w:style>
  <w:style w:type="paragraph" w:customStyle="1" w:styleId="aa">
    <w:name w:val="发布日期"/>
    <w:qFormat/>
    <w:rsid w:val="00C84BB7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sz w:val="28"/>
    </w:rPr>
  </w:style>
  <w:style w:type="paragraph" w:customStyle="1" w:styleId="ab">
    <w:name w:val="发布部门"/>
    <w:next w:val="a"/>
    <w:qFormat/>
    <w:rsid w:val="00C84BB7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sz w:val="28"/>
    </w:rPr>
  </w:style>
  <w:style w:type="paragraph" w:customStyle="1" w:styleId="20">
    <w:name w:val="列出段落2"/>
    <w:basedOn w:val="a"/>
    <w:qFormat/>
    <w:rsid w:val="00C84BB7"/>
    <w:pPr>
      <w:ind w:firstLineChars="200" w:firstLine="420"/>
    </w:pPr>
    <w:rPr>
      <w:rFonts w:ascii="Times New Roman" w:eastAsia="宋体" w:hAnsi="Times New Roman" w:cs="Times New Roman"/>
    </w:rPr>
  </w:style>
  <w:style w:type="paragraph" w:styleId="ac">
    <w:name w:val="Document Map"/>
    <w:basedOn w:val="a"/>
    <w:link w:val="Char2"/>
    <w:uiPriority w:val="99"/>
    <w:semiHidden/>
    <w:unhideWhenUsed/>
    <w:rsid w:val="00C4669A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c"/>
    <w:uiPriority w:val="99"/>
    <w:semiHidden/>
    <w:rsid w:val="00C4669A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61"/>
    <customShpInfo spid="_x0000_s2070"/>
    <customShpInfo spid="_x0000_s2068"/>
    <customShpInfo spid="_x0000_s2067"/>
    <customShpInfo spid="_x0000_s2066"/>
    <customShpInfo spid="_x0000_s2065"/>
    <customShpInfo spid="_x0000_s2064"/>
    <customShpInfo spid="_x0000_s2063"/>
    <customShpInfo spid="_x0000_s2062"/>
    <customShpInfo spid="_x0000_s2071"/>
    <customShpInfo spid="_x0000_s2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68B375-F643-48B7-A78F-2DA487B9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YuanHongyan</dc:creator>
  <cp:lastModifiedBy>HQL</cp:lastModifiedBy>
  <cp:revision>168</cp:revision>
  <dcterms:created xsi:type="dcterms:W3CDTF">2018-09-21T09:26:00Z</dcterms:created>
  <dcterms:modified xsi:type="dcterms:W3CDTF">2020-08-21T01:08:00Z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