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117" w:rsidRDefault="00291117" w:rsidP="003C679C">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291117" w:rsidRDefault="00291117" w:rsidP="003C679C">
      <w:pPr>
        <w:pStyle w:val="1"/>
        <w:spacing w:beforeLines="50" w:afterLines="50" w:line="400" w:lineRule="atLeast"/>
        <w:ind w:left="357" w:firstLineChars="0" w:firstLine="0"/>
        <w:contextualSpacing/>
        <w:jc w:val="distribute"/>
        <w:rPr>
          <w:rFonts w:ascii="黑体" w:eastAsia="黑体" w:hAnsi="黑体" w:cs="宋体"/>
          <w:sz w:val="44"/>
          <w:szCs w:val="44"/>
        </w:rPr>
      </w:pPr>
    </w:p>
    <w:p w:rsidR="00291117" w:rsidRDefault="00FA04C5" w:rsidP="003C679C">
      <w:pPr>
        <w:pStyle w:val="1"/>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291117" w:rsidRDefault="00FA04C5" w:rsidP="003C679C">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3C679C">
        <w:rPr>
          <w:rFonts w:ascii="黑体" w:eastAsia="黑体" w:hAnsi="黑体" w:cs="宋体" w:hint="eastAsia"/>
          <w:sz w:val="28"/>
          <w:szCs w:val="28"/>
        </w:rPr>
        <w:t>109</w:t>
      </w:r>
      <w:r>
        <w:rPr>
          <w:rFonts w:ascii="黑体" w:eastAsia="黑体" w:hAnsi="黑体" w:cs="宋体" w:hint="eastAsia"/>
          <w:sz w:val="28"/>
          <w:szCs w:val="28"/>
        </w:rPr>
        <w:t>-20</w:t>
      </w:r>
      <w:r w:rsidR="003C679C">
        <w:rPr>
          <w:rFonts w:ascii="黑体" w:eastAsia="黑体" w:hAnsi="黑体" w:cs="宋体" w:hint="eastAsia"/>
          <w:sz w:val="28"/>
          <w:szCs w:val="28"/>
        </w:rPr>
        <w:t>20</w:t>
      </w:r>
    </w:p>
    <w:p w:rsidR="00291117" w:rsidRDefault="00341611" w:rsidP="003C679C">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2.6pt;margin-top:6pt;width:407.4pt;height:0;z-index:251659264" o:connectortype="straight"/>
        </w:pict>
      </w: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360" w:lineRule="auto"/>
        <w:ind w:left="357" w:firstLineChars="0" w:firstLine="0"/>
        <w:contextualSpacing/>
        <w:jc w:val="center"/>
        <w:rPr>
          <w:rFonts w:ascii="黑体" w:eastAsia="黑体" w:hAnsi="黑体" w:cs="宋体"/>
          <w:sz w:val="48"/>
          <w:szCs w:val="48"/>
        </w:rPr>
      </w:pPr>
    </w:p>
    <w:p w:rsidR="00291117" w:rsidRDefault="00291117" w:rsidP="003C679C">
      <w:pPr>
        <w:pStyle w:val="1"/>
        <w:spacing w:beforeLines="50" w:afterLines="50" w:line="360" w:lineRule="auto"/>
        <w:ind w:left="357" w:firstLineChars="0" w:firstLine="0"/>
        <w:contextualSpacing/>
        <w:jc w:val="center"/>
        <w:rPr>
          <w:rFonts w:ascii="黑体" w:eastAsia="黑体" w:hAnsi="黑体" w:cs="宋体"/>
          <w:sz w:val="18"/>
          <w:szCs w:val="18"/>
        </w:rPr>
      </w:pPr>
    </w:p>
    <w:p w:rsidR="00291117" w:rsidRDefault="00FA04C5" w:rsidP="003C679C">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紫黑米</w:t>
      </w:r>
      <w:r>
        <w:rPr>
          <w:rFonts w:ascii="黑体" w:eastAsia="黑体" w:hAnsi="黑体" w:hint="eastAsia"/>
          <w:sz w:val="48"/>
          <w:szCs w:val="48"/>
        </w:rPr>
        <w:t>生产操作规程</w:t>
      </w: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3C679C" w:rsidRDefault="003C679C"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3C679C" w:rsidRDefault="003C679C" w:rsidP="003C679C">
      <w:pPr>
        <w:pStyle w:val="1"/>
        <w:spacing w:beforeLines="50" w:afterLines="50" w:line="400" w:lineRule="atLeast"/>
        <w:ind w:firstLineChars="0"/>
        <w:rPr>
          <w:rFonts w:ascii="黑体" w:eastAsia="黑体" w:hAnsi="黑体"/>
          <w:sz w:val="28"/>
          <w:szCs w:val="28"/>
        </w:rPr>
      </w:pPr>
      <w:r>
        <w:rPr>
          <w:rFonts w:ascii="黑体" w:eastAsia="黑体" w:hAnsi="黑体" w:cs="宋体"/>
          <w:sz w:val="24"/>
          <w:szCs w:val="24"/>
        </w:rPr>
        <w:pict>
          <v:shape id="_x0000_s1026" type="#_x0000_t32" style="position:absolute;left:0;text-align:left;margin-left:16.2pt;margin-top:27pt;width:382.2pt;height:1.2pt;z-index:251658240" o:connectortype="straight"/>
        </w:pict>
      </w:r>
      <w:r>
        <w:rPr>
          <w:rFonts w:ascii="黑体" w:eastAsia="黑体" w:hAnsi="黑体" w:cs="黑体" w:hint="eastAsia"/>
          <w:sz w:val="28"/>
          <w:szCs w:val="28"/>
        </w:rPr>
        <w:t xml:space="preserve">2020-08-20发布        </w:t>
      </w:r>
      <w:r>
        <w:rPr>
          <w:rFonts w:ascii="黑体" w:eastAsia="黑体" w:hAnsi="黑体" w:cs="黑体" w:hint="eastAsia"/>
          <w:sz w:val="28"/>
          <w:szCs w:val="28"/>
        </w:rPr>
        <w:t xml:space="preserve">      </w:t>
      </w:r>
      <w:r>
        <w:rPr>
          <w:rFonts w:ascii="黑体" w:eastAsia="黑体" w:hAnsi="黑体" w:cs="黑体" w:hint="eastAsia"/>
          <w:sz w:val="28"/>
          <w:szCs w:val="28"/>
        </w:rPr>
        <w:t xml:space="preserve">      2020-11-01实施</w:t>
      </w:r>
    </w:p>
    <w:p w:rsidR="00291117" w:rsidRDefault="00291117" w:rsidP="003C679C">
      <w:pPr>
        <w:pStyle w:val="1"/>
        <w:spacing w:beforeLines="50" w:afterLines="50" w:line="400" w:lineRule="atLeast"/>
        <w:ind w:left="357" w:firstLineChars="0" w:firstLine="0"/>
        <w:contextualSpacing/>
        <w:jc w:val="left"/>
        <w:rPr>
          <w:rFonts w:ascii="黑体" w:eastAsia="黑体" w:hAnsi="黑体" w:cs="宋体"/>
          <w:sz w:val="24"/>
          <w:szCs w:val="24"/>
        </w:rPr>
      </w:pPr>
    </w:p>
    <w:p w:rsidR="00291117" w:rsidRDefault="00FA04C5" w:rsidP="003C679C">
      <w:pPr>
        <w:pStyle w:val="1"/>
        <w:spacing w:beforeLines="50" w:afterLines="50"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黑体" w:eastAsia="黑体" w:hAnsi="黑体" w:cs="宋体" w:hint="eastAsia"/>
          <w:sz w:val="28"/>
          <w:szCs w:val="28"/>
        </w:rPr>
        <w:t>发 布</w:t>
      </w:r>
    </w:p>
    <w:p w:rsidR="00291117" w:rsidRDefault="00291117" w:rsidP="003C679C">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FA04C5" w:rsidP="003C679C">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291117" w:rsidP="003C679C">
      <w:pPr>
        <w:pStyle w:val="1"/>
        <w:spacing w:beforeLines="50" w:afterLines="50" w:line="400" w:lineRule="atLeast"/>
        <w:ind w:left="357" w:firstLineChars="0" w:firstLine="0"/>
        <w:contextualSpacing/>
        <w:jc w:val="center"/>
        <w:rPr>
          <w:rFonts w:ascii="黑体" w:eastAsia="黑体" w:hAnsi="黑体" w:cs="宋体"/>
          <w:sz w:val="32"/>
          <w:szCs w:val="32"/>
        </w:rPr>
      </w:pPr>
    </w:p>
    <w:p w:rsidR="00291117" w:rsidRDefault="00FA04C5" w:rsidP="003C679C">
      <w:pPr>
        <w:pStyle w:val="1"/>
        <w:spacing w:beforeLines="50" w:afterLines="50" w:line="400" w:lineRule="atLeast"/>
        <w:contextualSpacing/>
        <w:jc w:val="left"/>
        <w:rPr>
          <w:rFonts w:ascii="宋体" w:hAnsi="宋体" w:cs="宋体"/>
        </w:rPr>
      </w:pPr>
      <w:r>
        <w:rPr>
          <w:rFonts w:ascii="宋体" w:hAnsi="宋体" w:cs="宋体" w:hint="eastAsia"/>
        </w:rPr>
        <w:t>本规程由中国绿色食品发展中心提出并归口。</w:t>
      </w:r>
    </w:p>
    <w:p w:rsidR="00291117" w:rsidRDefault="00FA04C5" w:rsidP="003C679C">
      <w:pPr>
        <w:pStyle w:val="1"/>
        <w:spacing w:beforeLines="50" w:afterLines="50" w:line="400" w:lineRule="atLeast"/>
        <w:contextualSpacing/>
        <w:jc w:val="left"/>
        <w:rPr>
          <w:rFonts w:ascii="宋体" w:hAnsi="宋体" w:cs="宋体"/>
        </w:rPr>
      </w:pPr>
      <w:r>
        <w:rPr>
          <w:rFonts w:ascii="宋体" w:hAnsi="宋体" w:cs="宋体" w:hint="eastAsia"/>
        </w:rPr>
        <w:t>本规程起草单位：中国水稻研究所、贵州省绿色食品发展中心、陕西省农产品质量安全中心、湖南省绿色食品办公室、江西省绿色食品发展中心、江苏省绿色食品办公室、贵州金晨农产品开发有限公司、江苏嘉贤米业有限公司、</w:t>
      </w:r>
      <w:r w:rsidR="00EF27F1">
        <w:rPr>
          <w:rFonts w:ascii="宋体" w:hAnsi="宋体" w:cs="宋体" w:hint="eastAsia"/>
        </w:rPr>
        <w:t>金华一枝秀米业有限公司、</w:t>
      </w:r>
      <w:r>
        <w:rPr>
          <w:rFonts w:ascii="宋体" w:hAnsi="宋体" w:cs="宋体" w:hint="eastAsia"/>
        </w:rPr>
        <w:t>洋县农产品质量安全监测检验中心、桃源县兴隆米业科技开发有限公司、洋县乐康生态农业发展有限公司、江西五圆科农实业有限公司。</w:t>
      </w:r>
    </w:p>
    <w:p w:rsidR="00000000" w:rsidRDefault="00FA04C5" w:rsidP="003C679C">
      <w:pPr>
        <w:pStyle w:val="1"/>
        <w:spacing w:beforeLines="50" w:afterLines="50" w:line="400" w:lineRule="atLeast"/>
        <w:contextualSpacing/>
        <w:jc w:val="left"/>
        <w:rPr>
          <w:rFonts w:ascii="宋体" w:hAnsi="宋体" w:cs="宋体"/>
        </w:rPr>
      </w:pPr>
      <w:r>
        <w:rPr>
          <w:rFonts w:ascii="宋体" w:hAnsi="宋体" w:cs="宋体" w:hint="eastAsia"/>
        </w:rPr>
        <w:t>本规程主要起草人：章林平、张卫星、梁潇、王转丽、刘申平、杜志明、杭祥荣、朱玉明、谢桐洲、</w:t>
      </w:r>
      <w:r w:rsidR="00EF27F1">
        <w:rPr>
          <w:rFonts w:ascii="宋体" w:hAnsi="宋体" w:cs="宋体" w:hint="eastAsia"/>
        </w:rPr>
        <w:t>丰兆平、</w:t>
      </w:r>
      <w:r>
        <w:rPr>
          <w:rFonts w:ascii="宋体" w:hAnsi="宋体" w:cs="宋体" w:hint="eastAsia"/>
        </w:rPr>
        <w:t>闫东林、朱大伟、刘兴海、唐玉梅、代国红、龚国胜、朱智伟。</w:t>
      </w: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hint="eastAsia"/>
          <w:sz w:val="28"/>
          <w:szCs w:val="28"/>
        </w:rPr>
      </w:pPr>
    </w:p>
    <w:p w:rsidR="003C679C" w:rsidRDefault="003C679C" w:rsidP="003C679C">
      <w:pPr>
        <w:pStyle w:val="1"/>
        <w:spacing w:beforeLines="50" w:afterLines="50" w:line="400" w:lineRule="atLeast"/>
        <w:ind w:firstLine="560"/>
        <w:contextualSpacing/>
        <w:jc w:val="left"/>
        <w:rPr>
          <w:rFonts w:ascii="宋体" w:hAnsi="宋体" w:cs="宋体" w:hint="eastAsia"/>
          <w:sz w:val="28"/>
          <w:szCs w:val="28"/>
        </w:rPr>
      </w:pPr>
    </w:p>
    <w:p w:rsidR="003C679C" w:rsidRDefault="003C679C" w:rsidP="003C679C">
      <w:pPr>
        <w:pStyle w:val="1"/>
        <w:spacing w:beforeLines="50" w:afterLines="50" w:line="400" w:lineRule="atLeast"/>
        <w:ind w:firstLine="560"/>
        <w:contextualSpacing/>
        <w:jc w:val="left"/>
        <w:rPr>
          <w:rFonts w:ascii="宋体" w:hAnsi="宋体" w:cs="宋体" w:hint="eastAsia"/>
          <w:sz w:val="28"/>
          <w:szCs w:val="28"/>
        </w:rPr>
      </w:pPr>
    </w:p>
    <w:p w:rsidR="003C679C" w:rsidRDefault="003C679C" w:rsidP="003C679C">
      <w:pPr>
        <w:pStyle w:val="1"/>
        <w:spacing w:beforeLines="50" w:afterLines="50" w:line="400" w:lineRule="atLeast"/>
        <w:ind w:firstLine="560"/>
        <w:contextualSpacing/>
        <w:jc w:val="left"/>
        <w:rPr>
          <w:rFonts w:ascii="宋体" w:hAnsi="宋体" w:cs="宋体"/>
          <w:sz w:val="28"/>
          <w:szCs w:val="28"/>
        </w:rPr>
      </w:pPr>
    </w:p>
    <w:p w:rsidR="00000000" w:rsidRDefault="00EB4757" w:rsidP="003C679C">
      <w:pPr>
        <w:pStyle w:val="1"/>
        <w:spacing w:beforeLines="50" w:afterLines="50" w:line="400" w:lineRule="atLeast"/>
        <w:ind w:firstLine="560"/>
        <w:contextualSpacing/>
        <w:jc w:val="left"/>
        <w:rPr>
          <w:rFonts w:ascii="宋体" w:hAnsi="宋体" w:cs="宋体"/>
          <w:sz w:val="28"/>
          <w:szCs w:val="28"/>
        </w:rPr>
      </w:pPr>
    </w:p>
    <w:p w:rsidR="00291117" w:rsidRDefault="00291117">
      <w:pPr>
        <w:widowControl/>
        <w:jc w:val="left"/>
        <w:rPr>
          <w:rFonts w:ascii="黑体" w:eastAsia="黑体" w:hAnsi="黑体" w:cs="宋体"/>
          <w:sz w:val="32"/>
          <w:szCs w:val="32"/>
        </w:rPr>
      </w:pPr>
    </w:p>
    <w:p w:rsidR="00291117" w:rsidRDefault="00FA04C5" w:rsidP="003C679C">
      <w:pPr>
        <w:pStyle w:val="1"/>
        <w:spacing w:beforeLines="50" w:afterLines="50" w:line="400" w:lineRule="atLeast"/>
        <w:ind w:left="357" w:firstLineChars="0" w:firstLine="0"/>
        <w:contextualSpacing/>
        <w:jc w:val="center"/>
        <w:rPr>
          <w:rFonts w:ascii="黑体" w:eastAsia="黑体" w:hAnsi="黑体"/>
          <w:sz w:val="32"/>
          <w:szCs w:val="32"/>
        </w:rPr>
      </w:pPr>
      <w:r>
        <w:rPr>
          <w:rFonts w:ascii="黑体" w:eastAsia="黑体" w:hAnsi="黑体" w:cs="宋体" w:hint="eastAsia"/>
          <w:sz w:val="32"/>
          <w:szCs w:val="32"/>
        </w:rPr>
        <w:t>绿色食品紫黑米生产操作规程</w:t>
      </w:r>
    </w:p>
    <w:p w:rsidR="00000000" w:rsidRDefault="00EB4757" w:rsidP="003C679C">
      <w:pPr>
        <w:pStyle w:val="1"/>
        <w:spacing w:beforeLines="50" w:afterLines="50" w:line="400" w:lineRule="atLeast"/>
        <w:ind w:left="357" w:firstLineChars="0" w:firstLine="0"/>
        <w:contextualSpacing/>
        <w:jc w:val="center"/>
        <w:rPr>
          <w:rFonts w:asciiTheme="minorEastAsia" w:eastAsiaTheme="minorEastAsia" w:hAnsiTheme="minorEastAsia" w:cs="宋体"/>
          <w:sz w:val="28"/>
          <w:szCs w:val="28"/>
        </w:rPr>
      </w:pPr>
    </w:p>
    <w:p w:rsidR="00291117" w:rsidRDefault="00FA04C5">
      <w:pPr>
        <w:spacing w:line="400" w:lineRule="atLeast"/>
        <w:contextualSpacing/>
        <w:rPr>
          <w:rFonts w:ascii="黑体" w:eastAsia="黑体" w:hAnsi="黑体" w:cs="黑体"/>
        </w:rPr>
      </w:pPr>
      <w:r>
        <w:rPr>
          <w:rFonts w:ascii="黑体" w:eastAsia="黑体" w:hAnsi="黑体" w:cs="黑体" w:hint="eastAsia"/>
        </w:rPr>
        <w:t>1 范围</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本规程规定了绿色食品紫黑米的产地环境、品种选择、播种育秧、整田移栽、田间管理、收获贮藏、生产废弃物处理及生产档案管理。</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本规程适用于绿色食品紫黑米的生产。</w:t>
      </w:r>
    </w:p>
    <w:p w:rsidR="00291117" w:rsidRDefault="00FA04C5">
      <w:pPr>
        <w:spacing w:line="400" w:lineRule="atLeast"/>
        <w:contextualSpacing/>
        <w:rPr>
          <w:rFonts w:ascii="黑体" w:eastAsia="黑体" w:hAnsi="黑体" w:cs="黑体"/>
        </w:rPr>
      </w:pPr>
      <w:r>
        <w:rPr>
          <w:rFonts w:ascii="黑体" w:eastAsia="黑体" w:hAnsi="黑体" w:cs="黑体" w:hint="eastAsia"/>
        </w:rPr>
        <w:t>2 规范性引用文件</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GB 4404.1  粮食作物种子 第1部分：禾谷类</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NY/T 391  绿色食品  产地环境质量</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NY/T 393  绿色食品  农药使用准则</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NY/T 394  绿色食品  肥料使用准则</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NY</w:t>
      </w:r>
      <w:r>
        <w:rPr>
          <w:rFonts w:ascii="宋体" w:hAnsi="宋体" w:cs="宋体"/>
        </w:rPr>
        <w:t>/</w:t>
      </w:r>
      <w:r>
        <w:rPr>
          <w:rFonts w:ascii="宋体" w:hAnsi="宋体" w:cs="宋体" w:hint="eastAsia"/>
        </w:rPr>
        <w:t>T 832 黑米</w:t>
      </w:r>
    </w:p>
    <w:p w:rsidR="00000000" w:rsidRDefault="00FA04C5" w:rsidP="003C679C">
      <w:pPr>
        <w:pStyle w:val="1"/>
        <w:spacing w:beforeLines="50" w:afterLines="50" w:line="400" w:lineRule="atLeast"/>
        <w:contextualSpacing/>
        <w:rPr>
          <w:rFonts w:ascii="宋体" w:hAnsi="宋体" w:cs="宋体"/>
        </w:rPr>
      </w:pPr>
      <w:r>
        <w:rPr>
          <w:rFonts w:ascii="宋体" w:hAnsi="宋体" w:cs="宋体" w:hint="eastAsia"/>
        </w:rPr>
        <w:t xml:space="preserve">NY/T 1056  绿色食品 </w:t>
      </w:r>
      <w:r w:rsidR="001D5480">
        <w:rPr>
          <w:rFonts w:ascii="宋体" w:hAnsi="宋体" w:cs="宋体" w:hint="eastAsia"/>
        </w:rPr>
        <w:t xml:space="preserve"> </w:t>
      </w:r>
      <w:r>
        <w:rPr>
          <w:rFonts w:ascii="宋体" w:hAnsi="宋体" w:cs="宋体" w:hint="eastAsia"/>
        </w:rPr>
        <w:t>贮藏运输规则</w:t>
      </w:r>
    </w:p>
    <w:p w:rsidR="00291117" w:rsidRDefault="00FA04C5">
      <w:pPr>
        <w:spacing w:line="400" w:lineRule="atLeast"/>
        <w:contextualSpacing/>
        <w:rPr>
          <w:rFonts w:ascii="黑体" w:eastAsia="黑体" w:hAnsi="黑体" w:cs="黑体"/>
        </w:rPr>
      </w:pPr>
      <w:r>
        <w:rPr>
          <w:rFonts w:ascii="黑体" w:eastAsia="黑体" w:hAnsi="黑体" w:cs="黑体" w:hint="eastAsia"/>
        </w:rPr>
        <w:t>3 产地环境</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绿色食品紫黑米产地环境质量应符合NY/T 391的规定。基地选择生态环境良好、空气清新、水质清洁、土壤未受污染的集中连片地块，周边无工矿企业污染源，农田渠系配套，灌排方便，水源充足，地表水或地下水不存在受周边水域或上游污染的风险；地形地势以平原、丘陵或梯田为主；土壤耕作层深厚、通透性好，肥力中上等；具备能满足水稻当季生长所需的温度、光照和水分等气候条件。</w:t>
      </w:r>
    </w:p>
    <w:p w:rsidR="00291117" w:rsidRDefault="00FA04C5">
      <w:pPr>
        <w:spacing w:line="400" w:lineRule="atLeast"/>
        <w:contextualSpacing/>
        <w:rPr>
          <w:rFonts w:ascii="黑体" w:eastAsia="黑体" w:hAnsi="黑体" w:cs="黑体"/>
        </w:rPr>
      </w:pPr>
      <w:r>
        <w:rPr>
          <w:rFonts w:ascii="黑体" w:eastAsia="黑体" w:hAnsi="黑体" w:cs="黑体" w:hint="eastAsia"/>
        </w:rPr>
        <w:t>4 品种选择</w:t>
      </w:r>
    </w:p>
    <w:p w:rsidR="00291117" w:rsidRDefault="00FA04C5">
      <w:pPr>
        <w:spacing w:line="400" w:lineRule="atLeast"/>
        <w:contextualSpacing/>
        <w:rPr>
          <w:rFonts w:ascii="黑体" w:eastAsia="黑体" w:hAnsi="黑体" w:cs="黑体"/>
        </w:rPr>
      </w:pPr>
      <w:r>
        <w:rPr>
          <w:rFonts w:ascii="黑体" w:eastAsia="黑体" w:hAnsi="黑体" w:cs="黑体" w:hint="eastAsia"/>
        </w:rPr>
        <w:t>4.1选择原则</w:t>
      </w:r>
    </w:p>
    <w:p w:rsidR="00291117" w:rsidRDefault="00FA04C5" w:rsidP="003C679C">
      <w:pPr>
        <w:pStyle w:val="1"/>
        <w:tabs>
          <w:tab w:val="left" w:pos="142"/>
        </w:tabs>
        <w:spacing w:beforeLines="50" w:afterLines="50" w:line="400" w:lineRule="atLeast"/>
        <w:ind w:left="-1"/>
        <w:contextualSpacing/>
        <w:rPr>
          <w:rFonts w:ascii="黑体" w:eastAsia="黑体" w:hAnsi="黑体" w:cs="黑体"/>
        </w:rPr>
      </w:pPr>
      <w:r>
        <w:rPr>
          <w:rFonts w:ascii="宋体" w:hAnsi="宋体" w:cs="宋体" w:hint="eastAsia"/>
        </w:rPr>
        <w:t>结合当地气候生态条件，按照“生育适宜、抗逆性强”的原则，选择通过国家或省级审定的优质高产紫黑米水稻品种或适宜当地种植的传统优质紫黑米水稻品种。常规稻品种采取提纯复壮措施防止品种退化。种子质量符合GB 4404.1的规定，种子纯度≥98%、净度≥97%、发芽率≥93%；含水量≤14.5%（粳稻）或≤13.5%（籼稻）。黑米的糙米黑色度和黑米色素含量达到NY/T 832的三级及以上为宜</w:t>
      </w:r>
      <w:r w:rsidR="0050591C" w:rsidRPr="0050591C">
        <w:rPr>
          <w:rFonts w:ascii="宋体" w:hAnsi="宋体" w:cs="宋体" w:hint="eastAsia"/>
        </w:rPr>
        <w:t>，黑色度≥80%，黑米色素E≥1.0%</w:t>
      </w:r>
      <w:r>
        <w:rPr>
          <w:rFonts w:ascii="宋体" w:hAnsi="宋体" w:cs="宋体" w:hint="eastAsia"/>
        </w:rPr>
        <w:t>。</w:t>
      </w:r>
    </w:p>
    <w:p w:rsidR="00291117" w:rsidRDefault="00FA04C5">
      <w:pPr>
        <w:spacing w:line="400" w:lineRule="atLeast"/>
        <w:contextualSpacing/>
        <w:rPr>
          <w:rFonts w:ascii="黑体" w:eastAsia="黑体" w:hAnsi="黑体" w:cs="黑体"/>
        </w:rPr>
      </w:pPr>
      <w:r>
        <w:rPr>
          <w:rFonts w:ascii="黑体" w:eastAsia="黑体" w:hAnsi="黑体" w:cs="黑体" w:hint="eastAsia"/>
        </w:rPr>
        <w:lastRenderedPageBreak/>
        <w:t>4.2品种选用</w:t>
      </w:r>
    </w:p>
    <w:p w:rsidR="00291117" w:rsidRDefault="00FA04C5" w:rsidP="003C679C">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紫黑米在我国不少地方都有种植，主产区集中在陕西、贵州、湖南、云南、湖北、江西、广西、安徽等南方稻区，多为传统常规稻品种及以优异种质为亲本选育的优质高产新品种。可选用洋县黑谷、惠水黑珍珠、赣黑21、桂黑1号、黑糯178、黑优粘、墨江紫谷</w:t>
      </w:r>
      <w:r>
        <w:rPr>
          <w:rFonts w:ascii="宋体" w:hAnsi="宋体" w:cs="宋体"/>
        </w:rPr>
        <w:t>、</w:t>
      </w:r>
      <w:r>
        <w:rPr>
          <w:rFonts w:ascii="宋体" w:hAnsi="宋体" w:cs="宋体" w:hint="eastAsia"/>
        </w:rPr>
        <w:t>滇香紫1号、紫香糯861、紫红稻4号、紫香稻9号、紫两优3号等。</w:t>
      </w:r>
    </w:p>
    <w:p w:rsidR="00291117" w:rsidRDefault="00FA04C5">
      <w:pPr>
        <w:spacing w:line="400" w:lineRule="atLeast"/>
        <w:contextualSpacing/>
        <w:rPr>
          <w:rFonts w:ascii="黑体" w:eastAsia="黑体" w:hAnsi="黑体" w:cs="黑体"/>
        </w:rPr>
      </w:pPr>
      <w:r>
        <w:rPr>
          <w:rFonts w:ascii="黑体" w:eastAsia="黑体" w:hAnsi="黑体" w:cs="黑体" w:hint="eastAsia"/>
        </w:rPr>
        <w:t>4.3种子处理</w:t>
      </w:r>
    </w:p>
    <w:p w:rsidR="00291117" w:rsidRDefault="00FA04C5">
      <w:pPr>
        <w:spacing w:line="400" w:lineRule="atLeast"/>
        <w:contextualSpacing/>
        <w:rPr>
          <w:rFonts w:ascii="黑体" w:eastAsia="黑体" w:hAnsi="黑体" w:cs="黑体"/>
        </w:rPr>
      </w:pPr>
      <w:r>
        <w:rPr>
          <w:rFonts w:ascii="黑体" w:eastAsia="黑体" w:hAnsi="黑体" w:cs="黑体" w:hint="eastAsia"/>
        </w:rPr>
        <w:t>4.3.1晒种选种</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选择晴朗微风天气，把种子摊在干燥向阳的晾晒场或竹席垫上，连续晒1d～2d，增强种皮透气性，提高种子发芽势。以风选、水选等方法剔除杂质和空瘪粒，精选饱满种子。选种用的盐水或黄泥水比重为1.13，可用鲜鸡蛋测定盐水或黄泥水比重，鸡蛋在溶液中露出一元硬币大小即可，选好的种子用清水漂洗1次～2次，洗去附着的盐分或黄泥。</w:t>
      </w:r>
    </w:p>
    <w:p w:rsidR="00291117" w:rsidRDefault="00FA04C5">
      <w:pPr>
        <w:spacing w:line="400" w:lineRule="atLeast"/>
        <w:contextualSpacing/>
        <w:rPr>
          <w:rFonts w:ascii="黑体" w:eastAsia="黑体" w:hAnsi="黑体" w:cs="黑体"/>
        </w:rPr>
      </w:pPr>
      <w:r>
        <w:rPr>
          <w:rFonts w:ascii="黑体" w:eastAsia="黑体" w:hAnsi="黑体" w:cs="黑体" w:hint="eastAsia"/>
        </w:rPr>
        <w:t>4.3.2种子消毒</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以1%的生石灰水澄清液进行种子杀菌消毒处理，或用350g/L精甲霜灵种子处理乳剂5g～12g拌种100kg。</w:t>
      </w:r>
    </w:p>
    <w:p w:rsidR="00291117" w:rsidRDefault="00FA04C5">
      <w:pPr>
        <w:spacing w:line="400" w:lineRule="atLeast"/>
        <w:contextualSpacing/>
        <w:rPr>
          <w:rFonts w:ascii="黑体" w:eastAsia="黑体" w:hAnsi="黑体" w:cs="黑体"/>
        </w:rPr>
      </w:pPr>
      <w:r>
        <w:rPr>
          <w:rFonts w:ascii="黑体" w:eastAsia="黑体" w:hAnsi="黑体" w:cs="黑体" w:hint="eastAsia"/>
        </w:rPr>
        <w:t>4.3.3浸种催芽</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以适宜方式进行浸种和保温催芽，提高种子发芽整齐度。将吸足水份的种子堆放催芽，在堆放处铺上约10 cm厚的稻草，再在上面铺上塑料薄膜，种子摊匀，上盖麻袋或塑料布，每3h～5h翻动1 次，注意控制温度在30℃左右，温度低时用32℃～40℃温水淋堆增温，至90%左右种子露白（芽长不超过1mm）即可播种。</w:t>
      </w:r>
    </w:p>
    <w:p w:rsidR="00291117" w:rsidRDefault="00FA04C5">
      <w:pPr>
        <w:spacing w:line="400" w:lineRule="atLeast"/>
        <w:contextualSpacing/>
        <w:rPr>
          <w:rFonts w:ascii="黑体" w:eastAsia="黑体" w:hAnsi="黑体" w:cs="黑体"/>
        </w:rPr>
      </w:pPr>
      <w:r>
        <w:rPr>
          <w:rFonts w:ascii="黑体" w:eastAsia="黑体" w:hAnsi="黑体" w:cs="黑体" w:hint="eastAsia"/>
        </w:rPr>
        <w:t>5 播种育秧</w:t>
      </w:r>
    </w:p>
    <w:p w:rsidR="00291117" w:rsidRDefault="00FA04C5">
      <w:pPr>
        <w:spacing w:line="400" w:lineRule="atLeast"/>
        <w:contextualSpacing/>
        <w:rPr>
          <w:rFonts w:ascii="黑体" w:eastAsia="黑体" w:hAnsi="黑体" w:cs="黑体"/>
        </w:rPr>
      </w:pPr>
      <w:r>
        <w:rPr>
          <w:rFonts w:ascii="黑体" w:eastAsia="黑体" w:hAnsi="黑体" w:cs="黑体" w:hint="eastAsia"/>
        </w:rPr>
        <w:t>5.1秧床准备</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选择背风向阳，排灌方便，土壤肥沃的稻田或菜地，深挖嵌细、整平做床。秧田以长期固定、连年培肥为宜，依据不同育秧方式（旱育秧、湿润育秧、抛秧、机插秧）进行秧床培肥及苗床制作。</w:t>
      </w:r>
    </w:p>
    <w:p w:rsidR="00291117" w:rsidRDefault="00FA04C5">
      <w:pPr>
        <w:spacing w:line="400" w:lineRule="atLeast"/>
        <w:contextualSpacing/>
        <w:rPr>
          <w:rFonts w:ascii="黑体" w:eastAsia="黑体" w:hAnsi="黑体" w:cs="黑体"/>
        </w:rPr>
      </w:pPr>
      <w:r>
        <w:rPr>
          <w:rFonts w:ascii="黑体" w:eastAsia="黑体" w:hAnsi="黑体" w:cs="黑体" w:hint="eastAsia"/>
        </w:rPr>
        <w:t>5.2适期播种</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根据当地温光资源、品种特性和育秧方式，选择适宜的播种期和移栽秧龄。</w:t>
      </w:r>
    </w:p>
    <w:p w:rsidR="00291117" w:rsidRDefault="00FA04C5">
      <w:pPr>
        <w:spacing w:line="400" w:lineRule="atLeast"/>
        <w:contextualSpacing/>
        <w:rPr>
          <w:rFonts w:ascii="黑体" w:eastAsia="黑体" w:hAnsi="黑体" w:cs="黑体"/>
        </w:rPr>
      </w:pPr>
      <w:r>
        <w:rPr>
          <w:rFonts w:ascii="黑体" w:eastAsia="黑体" w:hAnsi="黑体" w:cs="黑体" w:hint="eastAsia"/>
        </w:rPr>
        <w:t>5.3播种量</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根据不同育秧方式和品种类型确定适宜的播种量。旱育秧和湿润育秧的播种量常规稻为每平方米芽谷45g～60g，杂交稻为30g～40g；抛秧和机插秧的播种量常规稻为每盘芽谷</w:t>
      </w:r>
      <w:r>
        <w:rPr>
          <w:rFonts w:ascii="宋体" w:hAnsi="宋体" w:cs="宋体" w:hint="eastAsia"/>
        </w:rPr>
        <w:lastRenderedPageBreak/>
        <w:t>90g～110g，杂交稻为70g～90g。</w:t>
      </w:r>
    </w:p>
    <w:p w:rsidR="00291117" w:rsidRDefault="00FA04C5">
      <w:pPr>
        <w:spacing w:line="400" w:lineRule="atLeast"/>
        <w:contextualSpacing/>
        <w:rPr>
          <w:rFonts w:ascii="黑体" w:eastAsia="黑体" w:hAnsi="黑体" w:cs="黑体"/>
        </w:rPr>
      </w:pPr>
      <w:r>
        <w:rPr>
          <w:rFonts w:ascii="黑体" w:eastAsia="黑体" w:hAnsi="黑体" w:cs="黑体" w:hint="eastAsia"/>
        </w:rPr>
        <w:t>5.4苗床管理</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依据旱育秧、湿润育秧、抛秧、机插秧等不同育秧方式的技术要点，进行秧床培肥施肥、苗床温湿度控制和病虫草害管理。</w:t>
      </w:r>
    </w:p>
    <w:p w:rsidR="00291117" w:rsidRDefault="00FA04C5">
      <w:pPr>
        <w:spacing w:line="400" w:lineRule="atLeast"/>
        <w:contextualSpacing/>
        <w:rPr>
          <w:rFonts w:ascii="黑体" w:eastAsia="黑体" w:hAnsi="黑体" w:cs="黑体"/>
        </w:rPr>
      </w:pPr>
      <w:r>
        <w:rPr>
          <w:rFonts w:ascii="黑体" w:eastAsia="黑体" w:hAnsi="黑体" w:cs="黑体" w:hint="eastAsia"/>
        </w:rPr>
        <w:t>6整田移栽</w:t>
      </w:r>
    </w:p>
    <w:p w:rsidR="00291117" w:rsidRDefault="00FA04C5">
      <w:pPr>
        <w:spacing w:line="400" w:lineRule="atLeast"/>
        <w:contextualSpacing/>
        <w:rPr>
          <w:rFonts w:ascii="黑体" w:eastAsia="黑体" w:hAnsi="黑体" w:cs="黑体"/>
        </w:rPr>
      </w:pPr>
      <w:r>
        <w:rPr>
          <w:rFonts w:ascii="黑体" w:eastAsia="黑体" w:hAnsi="黑体" w:cs="黑体" w:hint="eastAsia"/>
        </w:rPr>
        <w:t>6.1耕整大田</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空闲田适当提早翻耕或旋耕，以耕作灭茬除草为主；前茬为油菜、小麦、稻茬的田块，在机械收获时同步秸秆粉碎还田，并添加秸秆腐熟剂和少量速效氮肥及时耕旋。提倡一年深翻耕、二年旋耕，旋翻结合、加深耕层。实行旱耕旱整，结合施基肥，适时泡田耙平，做到田平泥化、寸土不露，田面高度差≤3cm。</w:t>
      </w:r>
    </w:p>
    <w:p w:rsidR="00291117" w:rsidRDefault="00FA04C5">
      <w:pPr>
        <w:spacing w:line="400" w:lineRule="atLeast"/>
        <w:contextualSpacing/>
        <w:rPr>
          <w:rFonts w:ascii="黑体" w:eastAsia="黑体" w:hAnsi="黑体" w:cs="黑体"/>
        </w:rPr>
      </w:pPr>
      <w:r>
        <w:rPr>
          <w:rFonts w:ascii="黑体" w:eastAsia="黑体" w:hAnsi="黑体" w:cs="黑体" w:hint="eastAsia"/>
        </w:rPr>
        <w:t>6.2适期移栽</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根据当地温光资源、品种特性和育秧方式，选择适宜的播栽期和移栽秧龄。</w:t>
      </w:r>
    </w:p>
    <w:p w:rsidR="00341611" w:rsidRDefault="00FA04C5" w:rsidP="003C679C">
      <w:pPr>
        <w:pStyle w:val="1"/>
        <w:spacing w:beforeLines="50" w:afterLines="50" w:line="400" w:lineRule="atLeast"/>
        <w:contextualSpacing/>
        <w:rPr>
          <w:rFonts w:ascii="宋体" w:hAnsi="宋体" w:cs="宋体"/>
        </w:rPr>
      </w:pPr>
      <w:r>
        <w:rPr>
          <w:rFonts w:ascii="宋体" w:hAnsi="宋体" w:cs="宋体" w:hint="eastAsia"/>
        </w:rPr>
        <w:t>中稻：旱育秧、湿润育秧或抛秧为4月上旬～5月中旬播种，移栽秧龄为25d～35d；机插育秧为4月中旬～5月上旬播种，移栽秧龄为15d～25d。</w:t>
      </w:r>
    </w:p>
    <w:p w:rsidR="00341611" w:rsidRDefault="00FA04C5" w:rsidP="003C679C">
      <w:pPr>
        <w:pStyle w:val="1"/>
        <w:spacing w:beforeLines="50" w:afterLines="50" w:line="400" w:lineRule="atLeast"/>
        <w:contextualSpacing/>
        <w:rPr>
          <w:rFonts w:ascii="宋体" w:hAnsi="宋体" w:cs="宋体"/>
        </w:rPr>
      </w:pPr>
      <w:r>
        <w:rPr>
          <w:rFonts w:ascii="宋体" w:hAnsi="宋体" w:cs="宋体" w:hint="eastAsia"/>
        </w:rPr>
        <w:t>晚稻：旱育秧、湿润育秧或抛秧为5月中旬～6月中旬播种，移栽秧龄为25d～35d；机插育秧为5月下旬～6月中旬播种，移栽秧龄为15d～20d。</w:t>
      </w:r>
    </w:p>
    <w:p w:rsidR="00291117" w:rsidRDefault="00FA04C5">
      <w:pPr>
        <w:spacing w:line="400" w:lineRule="atLeast"/>
        <w:contextualSpacing/>
        <w:rPr>
          <w:rFonts w:ascii="黑体" w:eastAsia="黑体" w:hAnsi="黑体" w:cs="黑体"/>
        </w:rPr>
      </w:pPr>
      <w:r>
        <w:rPr>
          <w:rFonts w:ascii="黑体" w:eastAsia="黑体" w:hAnsi="黑体" w:cs="黑体" w:hint="eastAsia"/>
        </w:rPr>
        <w:t>6.3移栽密度</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根据当地土壤基础肥力、品种特性及目标产量，确定移栽基本苗和栽插规格。采取宽行窄株方式，中等肥力田块行距为20cm～25cm，株距为13cm～15cm，穴苗数为5～6苗/穴；高等肥力田块行距为25cm～30cm，株距为14cm～16cm，穴苗数为4～5苗/穴。</w:t>
      </w:r>
    </w:p>
    <w:p w:rsidR="00341611" w:rsidRDefault="00FA04C5" w:rsidP="003C679C">
      <w:pPr>
        <w:pStyle w:val="1"/>
        <w:spacing w:beforeLines="50" w:afterLines="50" w:line="400" w:lineRule="atLeast"/>
        <w:contextualSpacing/>
        <w:rPr>
          <w:rFonts w:ascii="宋体" w:hAnsi="宋体" w:cs="宋体"/>
        </w:rPr>
      </w:pPr>
      <w:r>
        <w:rPr>
          <w:rFonts w:ascii="宋体" w:hAnsi="宋体" w:cs="宋体" w:hint="eastAsia"/>
        </w:rPr>
        <w:t>移栽质量要求浅、稳、匀、直。</w:t>
      </w:r>
    </w:p>
    <w:p w:rsidR="00291117" w:rsidRDefault="00FA04C5">
      <w:pPr>
        <w:spacing w:line="400" w:lineRule="atLeast"/>
        <w:contextualSpacing/>
        <w:rPr>
          <w:rFonts w:ascii="黑体" w:eastAsia="黑体" w:hAnsi="黑体" w:cs="黑体"/>
        </w:rPr>
      </w:pPr>
      <w:r>
        <w:rPr>
          <w:rFonts w:ascii="黑体" w:eastAsia="黑体" w:hAnsi="黑体" w:cs="黑体" w:hint="eastAsia"/>
        </w:rPr>
        <w:t>7 田间管理</w:t>
      </w:r>
    </w:p>
    <w:p w:rsidR="00291117" w:rsidRDefault="00FA04C5">
      <w:pPr>
        <w:spacing w:line="400" w:lineRule="atLeast"/>
        <w:contextualSpacing/>
        <w:rPr>
          <w:rFonts w:ascii="黑体" w:eastAsia="黑体" w:hAnsi="黑体" w:cs="黑体"/>
        </w:rPr>
      </w:pPr>
      <w:r>
        <w:rPr>
          <w:rFonts w:ascii="黑体" w:eastAsia="黑体" w:hAnsi="黑体" w:cs="黑体" w:hint="eastAsia"/>
        </w:rPr>
        <w:t>7.1灌溉</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采取“浅-露-湿”结合的间歇灌溉方式，充分利用降雨补充灌溉。移栽时薄水至无水层活棵，插秧后保持3cm的水层3d～5d，促进秧苗返青，自然落干露田1d～2d后复2cm～3cm的浅水至湿润；分蘖期浅水勤灌促蘖，达到预期有效穗的80%～90%时够苗晒田，拔节前复水，浅水湿润间歇灌溉，足水孕穗；抽穗扬花期浅水湿润间歇灌溉，至灌浆期干湿交替，收获前7d～10d断水，不宜过早。</w:t>
      </w:r>
    </w:p>
    <w:p w:rsidR="00291117" w:rsidRDefault="00FA04C5">
      <w:pPr>
        <w:spacing w:line="400" w:lineRule="atLeast"/>
        <w:contextualSpacing/>
        <w:rPr>
          <w:rFonts w:ascii="黑体" w:eastAsia="黑体" w:hAnsi="黑体" w:cs="黑体"/>
        </w:rPr>
      </w:pPr>
      <w:r>
        <w:rPr>
          <w:rFonts w:ascii="黑体" w:eastAsia="黑体" w:hAnsi="黑体" w:cs="黑体" w:hint="eastAsia"/>
        </w:rPr>
        <w:t>7.2施肥</w:t>
      </w:r>
    </w:p>
    <w:p w:rsidR="00291117" w:rsidRDefault="00FA04C5">
      <w:pPr>
        <w:spacing w:line="400" w:lineRule="atLeast"/>
        <w:contextualSpacing/>
        <w:rPr>
          <w:rFonts w:ascii="黑体" w:eastAsia="黑体" w:hAnsi="黑体" w:cs="黑体"/>
        </w:rPr>
      </w:pPr>
      <w:r>
        <w:rPr>
          <w:rFonts w:ascii="黑体" w:eastAsia="黑体" w:hAnsi="黑体" w:cs="黑体" w:hint="eastAsia"/>
        </w:rPr>
        <w:t>7.2.1施肥原则</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lastRenderedPageBreak/>
        <w:t>施肥管理应符合NY/T 394的规定，坚持“有机为主、化肥减控”的绿色食品生产原则，采取“攻头、保尾、控中间”的促控策略。改进施肥方式，测土配方平衡施肥，氮磷钾肥按基肥和追肥、速效肥和缓效肥相结合的方式运筹；化肥与有机肥配合施用，增施农家肥和绿肥，控制化学氮肥用量，有机氮和无机氮的比例需超过1:1。</w:t>
      </w:r>
    </w:p>
    <w:p w:rsidR="00291117" w:rsidRDefault="00FA04C5">
      <w:pPr>
        <w:spacing w:line="400" w:lineRule="atLeast"/>
        <w:contextualSpacing/>
        <w:rPr>
          <w:rFonts w:ascii="黑体" w:eastAsia="黑体" w:hAnsi="黑体" w:cs="黑体"/>
        </w:rPr>
      </w:pPr>
      <w:r>
        <w:rPr>
          <w:rFonts w:ascii="黑体" w:eastAsia="黑体" w:hAnsi="黑体" w:cs="黑体" w:hint="eastAsia"/>
        </w:rPr>
        <w:t>7.2.2 施肥量</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根据当地土壤肥力水平和目标产量确定施肥量，控制氮肥用量，增施磷钾肥。控制目标产量400kg/亩～500kg/亩，氮肥（N）、磷肥（P</w:t>
      </w:r>
      <w:r>
        <w:rPr>
          <w:rFonts w:ascii="宋体" w:hAnsi="宋体" w:cs="宋体" w:hint="eastAsia"/>
          <w:vertAlign w:val="subscript"/>
        </w:rPr>
        <w:t>2</w:t>
      </w:r>
      <w:r>
        <w:rPr>
          <w:rFonts w:ascii="宋体" w:hAnsi="宋体" w:cs="宋体" w:hint="eastAsia"/>
        </w:rPr>
        <w:t>O</w:t>
      </w:r>
      <w:r>
        <w:rPr>
          <w:rFonts w:ascii="宋体" w:hAnsi="宋体" w:cs="宋体" w:hint="eastAsia"/>
          <w:vertAlign w:val="subscript"/>
        </w:rPr>
        <w:t>5</w:t>
      </w:r>
      <w:r>
        <w:rPr>
          <w:rFonts w:ascii="宋体" w:hAnsi="宋体" w:cs="宋体" w:hint="eastAsia"/>
        </w:rPr>
        <w:t>）和钾肥（K</w:t>
      </w:r>
      <w:r>
        <w:rPr>
          <w:rFonts w:ascii="宋体" w:hAnsi="宋体" w:cs="宋体" w:hint="eastAsia"/>
          <w:vertAlign w:val="subscript"/>
        </w:rPr>
        <w:t>2</w:t>
      </w:r>
      <w:r>
        <w:rPr>
          <w:rFonts w:ascii="宋体" w:hAnsi="宋体" w:cs="宋体" w:hint="eastAsia"/>
        </w:rPr>
        <w:t>O）每亩用量分别为8kg～10kg、5kg～6kg和5kg～6kg。</w:t>
      </w:r>
    </w:p>
    <w:p w:rsidR="00291117" w:rsidRDefault="00FA04C5">
      <w:pPr>
        <w:spacing w:line="400" w:lineRule="atLeast"/>
        <w:contextualSpacing/>
        <w:rPr>
          <w:rFonts w:ascii="黑体" w:eastAsia="黑体" w:hAnsi="黑体" w:cs="黑体"/>
        </w:rPr>
      </w:pPr>
      <w:r>
        <w:rPr>
          <w:rFonts w:ascii="黑体" w:eastAsia="黑体" w:hAnsi="黑体" w:cs="黑体" w:hint="eastAsia"/>
        </w:rPr>
        <w:t>7.2.3 肥料运筹</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氮肥（N）的基肥、分蘖肥、穗粒肥比例按5:2:3或6:2:2，移栽前施基肥，栽后7d～10d施分蘖肥，拔节后7d～12d施穗肥；磷肥（P</w:t>
      </w:r>
      <w:r>
        <w:rPr>
          <w:rFonts w:ascii="宋体" w:hAnsi="宋体" w:cs="宋体" w:hint="eastAsia"/>
          <w:vertAlign w:val="subscript"/>
        </w:rPr>
        <w:t>2</w:t>
      </w:r>
      <w:r>
        <w:rPr>
          <w:rFonts w:ascii="宋体" w:hAnsi="宋体" w:cs="宋体" w:hint="eastAsia"/>
        </w:rPr>
        <w:t>O</w:t>
      </w:r>
      <w:r>
        <w:rPr>
          <w:rFonts w:ascii="宋体" w:hAnsi="宋体" w:cs="宋体" w:hint="eastAsia"/>
          <w:vertAlign w:val="subscript"/>
        </w:rPr>
        <w:t>5</w:t>
      </w:r>
      <w:r>
        <w:rPr>
          <w:rFonts w:ascii="宋体" w:hAnsi="宋体" w:cs="宋体" w:hint="eastAsia"/>
        </w:rPr>
        <w:t>）全部基施；钾肥（K</w:t>
      </w:r>
      <w:r>
        <w:rPr>
          <w:rFonts w:ascii="宋体" w:hAnsi="宋体" w:cs="宋体" w:hint="eastAsia"/>
          <w:vertAlign w:val="subscript"/>
        </w:rPr>
        <w:t>2</w:t>
      </w:r>
      <w:r>
        <w:rPr>
          <w:rFonts w:ascii="宋体" w:hAnsi="宋体" w:cs="宋体" w:hint="eastAsia"/>
        </w:rPr>
        <w:t>O）按基肥、穗粒肥比例为5:5～6:4分两次施用。</w:t>
      </w:r>
    </w:p>
    <w:p w:rsidR="00341611" w:rsidRDefault="00FA04C5" w:rsidP="003C679C">
      <w:pPr>
        <w:pStyle w:val="1"/>
        <w:spacing w:beforeLines="50" w:afterLines="50" w:line="400" w:lineRule="atLeast"/>
        <w:contextualSpacing/>
        <w:rPr>
          <w:rFonts w:ascii="宋体" w:hAnsi="宋体" w:cs="宋体"/>
          <w:color w:val="FF0000"/>
        </w:rPr>
      </w:pPr>
      <w:r>
        <w:rPr>
          <w:rFonts w:ascii="宋体" w:hAnsi="宋体" w:cs="宋体" w:hint="eastAsia"/>
        </w:rPr>
        <w:t>整田时施足基肥，以有机肥为主。翻耕前每亩施腐熟农家肥（绿肥、厩肥）2000kg～3000kg，或腐熟饼肥、商品有机肥50kg；也可配施少量有机无机复混肥或专用配方缓控释肥，其中有机肥用量占基肥总量的70%～80%，化肥用量（缓控释肥、专用配方肥）占基肥总量的20%～30%。分蘖肥以速效氮肥为主，可施用复合肥或专用配方肥；穗肥以适量速效氮肥、钾肥和生物菌肥为主。抽穗后一般不施肥，脱肥田块可及时喷施叶面肥。</w:t>
      </w:r>
    </w:p>
    <w:p w:rsidR="00291117" w:rsidRDefault="00FA04C5">
      <w:pPr>
        <w:spacing w:line="400" w:lineRule="atLeast"/>
        <w:contextualSpacing/>
        <w:rPr>
          <w:rFonts w:ascii="黑体" w:eastAsia="黑体" w:hAnsi="黑体" w:cs="黑体"/>
        </w:rPr>
      </w:pPr>
      <w:r>
        <w:rPr>
          <w:rFonts w:ascii="黑体" w:eastAsia="黑体" w:hAnsi="黑体" w:cs="黑体" w:hint="eastAsia"/>
        </w:rPr>
        <w:t>7.3病虫草害防治</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7.3.1 防治原则</w:t>
      </w:r>
    </w:p>
    <w:p w:rsidR="00291117" w:rsidRDefault="00FA04C5" w:rsidP="003C679C">
      <w:pPr>
        <w:pStyle w:val="1"/>
        <w:spacing w:beforeLines="50" w:afterLines="50" w:line="400" w:lineRule="atLeast"/>
        <w:contextualSpacing/>
        <w:rPr>
          <w:rFonts w:ascii="黑体" w:eastAsia="黑体" w:hAnsi="黑体" w:cs="黑体"/>
        </w:rPr>
      </w:pPr>
      <w:r>
        <w:rPr>
          <w:rFonts w:hint="eastAsia"/>
        </w:rPr>
        <w:t>坚持“预防为主、综合防治”</w:t>
      </w:r>
      <w:r>
        <w:rPr>
          <w:rFonts w:ascii="宋体" w:hAnsi="宋体" w:cs="宋体" w:hint="eastAsia"/>
        </w:rPr>
        <w:t>原则</w:t>
      </w:r>
      <w:r>
        <w:rPr>
          <w:rFonts w:hint="eastAsia"/>
        </w:rPr>
        <w:t>，积极应用绿色综合防控技术，优先采取农业防控、物理诱控、生物防控，必要时进行化学防治，</w:t>
      </w:r>
      <w:r>
        <w:rPr>
          <w:rFonts w:hint="eastAsia"/>
          <w:bCs/>
        </w:rPr>
        <w:t>农药使用应符</w:t>
      </w:r>
      <w:r>
        <w:rPr>
          <w:rFonts w:ascii="宋体" w:hAnsi="宋体" w:hint="eastAsia"/>
        </w:rPr>
        <w:t>合</w:t>
      </w:r>
      <w:r>
        <w:rPr>
          <w:rFonts w:ascii="宋体" w:hAnsi="宋体"/>
        </w:rPr>
        <w:t>NY/T 393</w:t>
      </w:r>
      <w:r>
        <w:rPr>
          <w:rFonts w:ascii="宋体" w:hAnsi="宋体" w:hint="eastAsia"/>
        </w:rPr>
        <w:t>的</w:t>
      </w:r>
      <w:r>
        <w:rPr>
          <w:rFonts w:hint="eastAsia"/>
          <w:bCs/>
        </w:rPr>
        <w:t>规定。</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7.3.2</w:t>
      </w:r>
      <w:r>
        <w:rPr>
          <w:rFonts w:ascii="黑体" w:eastAsia="黑体" w:hAnsi="黑体" w:cs="黑体" w:hint="eastAsia"/>
        </w:rPr>
        <w:t>常见病</w:t>
      </w:r>
      <w:r>
        <w:rPr>
          <w:rFonts w:ascii="黑体" w:eastAsia="黑体" w:hAnsi="黑体" w:cs="黑体" w:hint="eastAsia"/>
          <w:szCs w:val="21"/>
        </w:rPr>
        <w:t>虫草害</w:t>
      </w:r>
    </w:p>
    <w:p w:rsidR="00291117" w:rsidRDefault="00FA04C5" w:rsidP="003C679C">
      <w:pPr>
        <w:pStyle w:val="1"/>
        <w:spacing w:beforeLines="50" w:afterLines="50" w:line="400" w:lineRule="atLeast"/>
        <w:contextualSpacing/>
        <w:rPr>
          <w:rFonts w:ascii="黑体" w:eastAsia="黑体" w:hAnsi="黑体" w:cs="黑体"/>
        </w:rPr>
      </w:pPr>
      <w:r>
        <w:rPr>
          <w:rFonts w:hint="eastAsia"/>
          <w:bCs/>
        </w:rPr>
        <w:t>主要病害：稻瘟病、纹枯病、稻曲病、白叶枯病、恶苗病、黑条矮缩病等；主要虫害：二化螟、稻纵卷叶螟、稻飞虱、稻蓟马、三化螟、稻苞虫等；主要草害：</w:t>
      </w:r>
      <w:r>
        <w:rPr>
          <w:rFonts w:asciiTheme="minorEastAsia" w:hAnsiTheme="minorEastAsia" w:hint="eastAsia"/>
          <w:color w:val="000000"/>
          <w:kern w:val="0"/>
        </w:rPr>
        <w:t>稗草、千金子、眼子菜、鸭舌草、牛毛毡、矮慈姑等</w:t>
      </w:r>
      <w:r>
        <w:rPr>
          <w:rFonts w:hint="eastAsia"/>
          <w:bCs/>
        </w:rPr>
        <w:t>。</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7.3.3防治措施</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7.3.3.1农业防治</w:t>
      </w:r>
    </w:p>
    <w:p w:rsidR="00291117" w:rsidRDefault="00FA04C5" w:rsidP="003C679C">
      <w:pPr>
        <w:pStyle w:val="1"/>
        <w:spacing w:beforeLines="50" w:afterLines="50" w:line="400" w:lineRule="atLeast"/>
        <w:contextualSpacing/>
        <w:rPr>
          <w:bCs/>
        </w:rPr>
      </w:pPr>
      <w:r>
        <w:rPr>
          <w:rFonts w:hint="eastAsia"/>
          <w:bCs/>
        </w:rPr>
        <w:t>选用抗病虫性强的品种，定期轮换品种，保持品种抗性。合理耕作，轮作换茬，冬闲田种绿肥。耕作除草，打捞残渣。合理施肥、培育壮秧、健身栽培，减少有害生物的发生。</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7.3.3.2</w:t>
      </w:r>
      <w:r>
        <w:rPr>
          <w:rFonts w:ascii="黑体" w:eastAsia="黑体" w:hAnsi="黑体" w:cs="黑体" w:hint="eastAsia"/>
        </w:rPr>
        <w:t>物理防治</w:t>
      </w:r>
    </w:p>
    <w:p w:rsidR="00291117" w:rsidRDefault="00FA04C5" w:rsidP="003C679C">
      <w:pPr>
        <w:pStyle w:val="1"/>
        <w:spacing w:beforeLines="50" w:afterLines="50" w:line="400" w:lineRule="atLeast"/>
        <w:contextualSpacing/>
        <w:rPr>
          <w:bCs/>
        </w:rPr>
      </w:pPr>
      <w:r>
        <w:rPr>
          <w:rFonts w:hint="eastAsia"/>
          <w:bCs/>
        </w:rPr>
        <w:lastRenderedPageBreak/>
        <w:t>采用频振式杀虫灯、黑光灯、色光板等物理设施诱杀。可按每</w:t>
      </w:r>
      <w:r>
        <w:rPr>
          <w:rFonts w:hint="eastAsia"/>
          <w:bCs/>
        </w:rPr>
        <w:t>35</w:t>
      </w:r>
      <w:r>
        <w:rPr>
          <w:rFonts w:hint="eastAsia"/>
          <w:bCs/>
        </w:rPr>
        <w:t>亩～</w:t>
      </w:r>
      <w:r>
        <w:rPr>
          <w:rFonts w:hint="eastAsia"/>
          <w:bCs/>
        </w:rPr>
        <w:t>50</w:t>
      </w:r>
      <w:r>
        <w:rPr>
          <w:rFonts w:hint="eastAsia"/>
          <w:bCs/>
        </w:rPr>
        <w:t>亩的稻田安装</w:t>
      </w:r>
      <w:r>
        <w:rPr>
          <w:bCs/>
        </w:rPr>
        <w:t>1</w:t>
      </w:r>
      <w:r>
        <w:rPr>
          <w:rFonts w:hint="eastAsia"/>
          <w:bCs/>
        </w:rPr>
        <w:t>盏频振式杀虫灯或黑光灯诱杀螟虫和稻纵卷叶螟。稻飞虱或稻蓟马发生田块，可利用黄板（蓝板）粘虫板诱杀；或用捕虫器具捕杀稻蓟马。</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7.3.3.3</w:t>
      </w:r>
      <w:r>
        <w:rPr>
          <w:rFonts w:ascii="黑体" w:eastAsia="黑体" w:hAnsi="黑体" w:cs="黑体" w:hint="eastAsia"/>
        </w:rPr>
        <w:t>生物防治</w:t>
      </w:r>
    </w:p>
    <w:p w:rsidR="00291117" w:rsidRDefault="00FA04C5" w:rsidP="003C679C">
      <w:pPr>
        <w:pStyle w:val="1"/>
        <w:spacing w:beforeLines="50" w:afterLines="50" w:line="400" w:lineRule="atLeast"/>
        <w:contextualSpacing/>
        <w:rPr>
          <w:bCs/>
        </w:rPr>
      </w:pPr>
      <w:r>
        <w:rPr>
          <w:rFonts w:hint="eastAsia"/>
          <w:bCs/>
        </w:rPr>
        <w:t>保护利用和释放田间天敌（蛙类、蜘蛛、赤眼蜂等）控制有害生物的发生；选择对天敌杀伤力小的低毒性农药，避开自然天敌对农药的敏感期，创造适宜自然天敌繁殖环境。使用性诱剂、香根草控制二化螟、稻纵卷叶螟的发生和危害；采取稻鸭共育、稻田养鱼（虾、蟹等）的生态种养方式控制虫害发生。</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7.3.3.4</w:t>
      </w:r>
      <w:r>
        <w:rPr>
          <w:rFonts w:ascii="黑体" w:eastAsia="黑体" w:hAnsi="黑体" w:cs="黑体" w:hint="eastAsia"/>
        </w:rPr>
        <w:t>化学防治</w:t>
      </w:r>
    </w:p>
    <w:p w:rsidR="00291117" w:rsidRDefault="00FA04C5" w:rsidP="003C679C">
      <w:pPr>
        <w:pStyle w:val="1"/>
        <w:spacing w:beforeLines="50" w:afterLines="50" w:line="400" w:lineRule="atLeast"/>
        <w:contextualSpacing/>
        <w:rPr>
          <w:bCs/>
        </w:rPr>
      </w:pPr>
      <w:r>
        <w:rPr>
          <w:rFonts w:hint="eastAsia"/>
          <w:bCs/>
        </w:rPr>
        <w:t>秧田期，注意防治二化螟、稻蓟马；分蘖到拔节期防治二化螟、稻飞虱、稻纵卷叶螟、白叶枯病；拔节到孕穗期防治稻纵卷叶螟、稻瘟病、纹枯病；孕穗到抽穗期防治稻纵卷叶螟、二化螟、稻瘟病、稻曲病；始穗至齐穗期防治穗颈瘟和白叶枯病。主抓秧田期和破口期前后两次用药，推荐防治措施见附录</w:t>
      </w:r>
      <w:r>
        <w:rPr>
          <w:bCs/>
        </w:rPr>
        <w:t>A</w:t>
      </w:r>
      <w:r>
        <w:rPr>
          <w:rFonts w:hint="eastAsia"/>
          <w:bCs/>
        </w:rPr>
        <w:t>。</w:t>
      </w:r>
    </w:p>
    <w:p w:rsidR="00291117" w:rsidRDefault="00FA04C5">
      <w:pPr>
        <w:spacing w:line="400" w:lineRule="atLeast"/>
        <w:contextualSpacing/>
        <w:rPr>
          <w:rFonts w:ascii="黑体" w:eastAsia="黑体" w:hAnsi="黑体" w:cs="黑体"/>
        </w:rPr>
      </w:pPr>
      <w:r>
        <w:rPr>
          <w:rFonts w:ascii="黑体" w:eastAsia="黑体" w:hAnsi="黑体" w:cs="黑体" w:hint="eastAsia"/>
        </w:rPr>
        <w:t>7.4杂草防控</w:t>
      </w:r>
    </w:p>
    <w:p w:rsidR="00291117" w:rsidRDefault="00FA04C5" w:rsidP="003C679C">
      <w:pPr>
        <w:pStyle w:val="1"/>
        <w:spacing w:beforeLines="50" w:afterLines="50" w:line="400" w:lineRule="atLeast"/>
        <w:contextualSpacing/>
        <w:rPr>
          <w:rFonts w:ascii="宋体" w:hAnsi="宋体" w:cs="宋体"/>
        </w:rPr>
      </w:pPr>
      <w:r>
        <w:rPr>
          <w:rFonts w:hint="eastAsia"/>
        </w:rPr>
        <w:t>优先采用农业防控、生物防控、机械防控，科学开展化学防控。化学除草推荐措施详见附录</w:t>
      </w:r>
      <w:r>
        <w:rPr>
          <w:rFonts w:hint="eastAsia"/>
        </w:rPr>
        <w:t>A</w:t>
      </w:r>
      <w:r>
        <w:rPr>
          <w:rFonts w:hint="eastAsia"/>
        </w:rPr>
        <w:t>。</w:t>
      </w:r>
    </w:p>
    <w:p w:rsidR="00291117" w:rsidRDefault="00FA04C5">
      <w:pPr>
        <w:spacing w:line="400" w:lineRule="atLeast"/>
        <w:contextualSpacing/>
        <w:rPr>
          <w:rFonts w:ascii="黑体" w:eastAsia="黑体" w:hAnsi="黑体" w:cs="黑体"/>
        </w:rPr>
      </w:pPr>
      <w:r>
        <w:rPr>
          <w:rFonts w:ascii="黑体" w:eastAsia="黑体" w:hAnsi="黑体" w:cs="黑体" w:hint="eastAsia"/>
        </w:rPr>
        <w:t>8 收获贮藏</w:t>
      </w:r>
    </w:p>
    <w:p w:rsidR="00291117" w:rsidRDefault="00FA04C5">
      <w:pPr>
        <w:spacing w:line="400" w:lineRule="atLeast"/>
        <w:contextualSpacing/>
        <w:rPr>
          <w:rFonts w:ascii="黑体" w:eastAsia="黑体" w:hAnsi="黑体" w:cs="黑体"/>
        </w:rPr>
      </w:pPr>
      <w:r>
        <w:rPr>
          <w:rFonts w:ascii="黑体" w:eastAsia="黑体" w:hAnsi="黑体" w:cs="黑体" w:hint="eastAsia"/>
        </w:rPr>
        <w:t>8.1 收获</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在米粒失水硬化、种皮呈现品种固有颜色、90%以上稻谷黄熟时，及时采取人工或机械收割。收获后应及时脱粒、晾晒或烘干。收获脱粒的机械、器具应及时清理，保持洁净、无污染。晾晒场地应清洁卫生，禁止在公路及粉尘污染较重的地方脱粒、晒谷。分品种单收、单脱、单晒，与常规稻谷严格区分，防止混杂。可选择自然干燥或专用烘干设备低温循环式烘干。</w:t>
      </w:r>
    </w:p>
    <w:p w:rsidR="00291117" w:rsidRDefault="00FA04C5">
      <w:pPr>
        <w:spacing w:line="400" w:lineRule="atLeast"/>
        <w:contextualSpacing/>
        <w:rPr>
          <w:rFonts w:ascii="黑体" w:eastAsia="黑体" w:hAnsi="黑体" w:cs="黑体"/>
        </w:rPr>
      </w:pPr>
      <w:r>
        <w:rPr>
          <w:rFonts w:ascii="黑体" w:eastAsia="黑体" w:hAnsi="黑体" w:cs="黑体" w:hint="eastAsia"/>
        </w:rPr>
        <w:t>8.2</w:t>
      </w:r>
      <w:r>
        <w:rPr>
          <w:rFonts w:ascii="黑体" w:eastAsia="黑体" w:hAnsi="黑体" w:cs="黑体" w:hint="eastAsia"/>
        </w:rPr>
        <w:tab/>
        <w:t>贮藏运输</w:t>
      </w:r>
    </w:p>
    <w:p w:rsidR="00291117" w:rsidRDefault="00FA04C5" w:rsidP="003C679C">
      <w:pPr>
        <w:pStyle w:val="1"/>
        <w:spacing w:beforeLines="50" w:afterLines="50" w:line="400" w:lineRule="atLeast"/>
        <w:contextualSpacing/>
        <w:rPr>
          <w:rFonts w:ascii="宋体" w:hAnsi="宋体" w:cs="宋体"/>
        </w:rPr>
      </w:pPr>
      <w:r>
        <w:rPr>
          <w:rFonts w:ascii="宋体" w:hAnsi="宋体" w:cs="宋体" w:hint="eastAsia"/>
        </w:rPr>
        <w:t>绿色食品紫黑米在运输过程中应采取防污、防混、保质的措施，贮藏应符合NY/T 1056的规定。在避光、常温、干燥防潮的地方贮藏。贮藏设施应清洁、干燥、通风、无虫害和鼠害。严禁与有毒、有害、有腐蚀性、发潮、有异味的物品混存。若进行仓库消毒、熏蒸处理，或防治稻谷贮藏期间病虫害，所用药剂应符合NY/T 393的规定。</w:t>
      </w:r>
    </w:p>
    <w:p w:rsidR="00291117" w:rsidRDefault="00FA04C5">
      <w:pPr>
        <w:spacing w:line="400" w:lineRule="atLeast"/>
        <w:contextualSpacing/>
        <w:rPr>
          <w:rFonts w:ascii="黑体" w:eastAsia="黑体" w:hAnsi="黑体" w:cs="黑体"/>
        </w:rPr>
      </w:pPr>
      <w:r>
        <w:rPr>
          <w:rFonts w:ascii="黑体" w:eastAsia="黑体" w:hAnsi="黑体" w:cs="黑体" w:hint="eastAsia"/>
        </w:rPr>
        <w:t>9 生产废弃物处理</w:t>
      </w:r>
    </w:p>
    <w:p w:rsidR="00291117" w:rsidRDefault="00FA04C5" w:rsidP="003C679C">
      <w:pPr>
        <w:pStyle w:val="1"/>
        <w:spacing w:beforeLines="50" w:afterLines="50" w:line="400" w:lineRule="atLeast"/>
        <w:contextualSpacing/>
        <w:rPr>
          <w:rFonts w:ascii="黑体" w:eastAsia="黑体" w:hAnsi="黑体" w:cs="黑体"/>
        </w:rPr>
      </w:pPr>
      <w:r>
        <w:rPr>
          <w:rFonts w:ascii="宋体" w:hAnsi="宋体" w:cs="宋体" w:hint="eastAsia"/>
        </w:rPr>
        <w:t>生产过程中产生的地膜、农药包装袋、塑料瓶、玻璃瓶等应统一回收，妥善处理，不能</w:t>
      </w:r>
      <w:r>
        <w:rPr>
          <w:rFonts w:ascii="宋体" w:hAnsi="宋体" w:cs="宋体" w:hint="eastAsia"/>
        </w:rPr>
        <w:lastRenderedPageBreak/>
        <w:t>随地丢弃，以免污染环境和对人、畜产生危害。收获后秸秆严禁焚烧、丢弃，提倡秸秆全量还田或秸秆综合利用。</w:t>
      </w:r>
    </w:p>
    <w:p w:rsidR="00291117" w:rsidRDefault="00FA04C5">
      <w:pPr>
        <w:spacing w:line="400" w:lineRule="atLeast"/>
        <w:contextualSpacing/>
        <w:rPr>
          <w:rFonts w:ascii="黑体" w:eastAsia="黑体" w:hAnsi="黑体" w:cs="黑体"/>
          <w:szCs w:val="21"/>
        </w:rPr>
      </w:pPr>
      <w:r>
        <w:rPr>
          <w:rFonts w:ascii="黑体" w:eastAsia="黑体" w:hAnsi="黑体" w:cs="黑体" w:hint="eastAsia"/>
          <w:szCs w:val="21"/>
        </w:rPr>
        <w:t>10 生产</w:t>
      </w:r>
      <w:r>
        <w:rPr>
          <w:rFonts w:ascii="黑体" w:eastAsia="黑体" w:hAnsi="黑体" w:cs="黑体" w:hint="eastAsia"/>
        </w:rPr>
        <w:t>档案</w:t>
      </w:r>
      <w:r>
        <w:rPr>
          <w:rFonts w:ascii="黑体" w:eastAsia="黑体" w:hAnsi="黑体" w:cs="黑体" w:hint="eastAsia"/>
          <w:szCs w:val="21"/>
        </w:rPr>
        <w:t>管理</w:t>
      </w:r>
    </w:p>
    <w:p w:rsidR="00291117" w:rsidRDefault="00FA04C5" w:rsidP="003C679C">
      <w:pPr>
        <w:pStyle w:val="1"/>
        <w:spacing w:beforeLines="50" w:afterLines="50" w:line="400" w:lineRule="atLeast"/>
        <w:contextualSpacing/>
        <w:rPr>
          <w:rFonts w:ascii="宋体" w:hAnsi="宋体" w:cs="宋体"/>
          <w:color w:val="FF0000"/>
        </w:rPr>
      </w:pPr>
      <w:r>
        <w:rPr>
          <w:rFonts w:hint="eastAsia"/>
        </w:rPr>
        <w:t>应</w:t>
      </w:r>
      <w:r>
        <w:t>建立绿色食品</w:t>
      </w:r>
      <w:r>
        <w:rPr>
          <w:rFonts w:hint="eastAsia"/>
        </w:rPr>
        <w:t>紫黑米</w:t>
      </w:r>
      <w:r>
        <w:t>生产档案</w:t>
      </w:r>
      <w:r>
        <w:rPr>
          <w:rFonts w:hint="eastAsia"/>
        </w:rPr>
        <w:t>，包括</w:t>
      </w:r>
      <w:r>
        <w:t>产地环境条件</w:t>
      </w:r>
      <w:r>
        <w:rPr>
          <w:rFonts w:hint="eastAsia"/>
        </w:rPr>
        <w:t>，生产投入品的采购、出入库及使用记录，田间农事活动（</w:t>
      </w:r>
      <w:r>
        <w:t>肥水管理、病虫草害发生</w:t>
      </w:r>
      <w:r>
        <w:rPr>
          <w:rFonts w:hint="eastAsia"/>
        </w:rPr>
        <w:t>与</w:t>
      </w:r>
      <w:r>
        <w:t>防治</w:t>
      </w:r>
      <w:r>
        <w:rPr>
          <w:rFonts w:hint="eastAsia"/>
        </w:rPr>
        <w:t>），收获、干燥、储运记录</w:t>
      </w:r>
      <w:r>
        <w:t>等</w:t>
      </w:r>
      <w:r>
        <w:rPr>
          <w:rFonts w:hint="eastAsia"/>
        </w:rPr>
        <w:t>内容。建立的生产档案记录应真实、准确、规范，且具有可追溯性。档案记录应有专人保管，保存期</w:t>
      </w:r>
      <w:r>
        <w:rPr>
          <w:rFonts w:hint="eastAsia"/>
        </w:rPr>
        <w:t>3</w:t>
      </w:r>
      <w:r>
        <w:rPr>
          <w:rFonts w:hint="eastAsia"/>
        </w:rPr>
        <w:t>年以上。</w:t>
      </w:r>
    </w:p>
    <w:p w:rsidR="00291117" w:rsidRDefault="00291117">
      <w:pPr>
        <w:spacing w:line="400" w:lineRule="atLeast"/>
        <w:ind w:firstLineChars="200" w:firstLine="420"/>
        <w:contextualSpacing/>
        <w:rPr>
          <w:rFonts w:ascii="宋体" w:hAnsi="宋体" w:cs="宋体"/>
          <w:color w:val="FF0000"/>
          <w:szCs w:val="21"/>
        </w:rPr>
      </w:pPr>
    </w:p>
    <w:p w:rsidR="00291117" w:rsidRDefault="00FA04C5">
      <w:pPr>
        <w:widowControl/>
        <w:jc w:val="left"/>
        <w:rPr>
          <w:rFonts w:ascii="黑体" w:eastAsia="黑体" w:hAnsi="Times New Roman" w:cs="Times New Roman"/>
          <w:kern w:val="0"/>
          <w:szCs w:val="21"/>
        </w:rPr>
      </w:pPr>
      <w:r>
        <w:rPr>
          <w:rFonts w:ascii="黑体" w:eastAsia="黑体" w:hAnsi="Times New Roman" w:cs="Times New Roman"/>
          <w:kern w:val="0"/>
          <w:szCs w:val="21"/>
        </w:rPr>
        <w:br w:type="page"/>
      </w:r>
    </w:p>
    <w:p w:rsidR="00291117" w:rsidRDefault="00FA04C5">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附录A</w:t>
      </w:r>
    </w:p>
    <w:p w:rsidR="00291117" w:rsidRDefault="00FA04C5">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291117" w:rsidRDefault="00FA04C5">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绿色食品紫黑米生产主要病虫草害防治推荐农药使用方案</w:t>
      </w:r>
    </w:p>
    <w:p w:rsidR="00291117" w:rsidRDefault="00291117">
      <w:pPr>
        <w:spacing w:line="400" w:lineRule="atLeast"/>
        <w:ind w:firstLineChars="200" w:firstLine="420"/>
        <w:contextualSpacing/>
        <w:jc w:val="center"/>
        <w:rPr>
          <w:rFonts w:ascii="黑体" w:eastAsia="黑体" w:hAnsi="Times New Roman" w:cs="Times New Roman"/>
          <w:kern w:val="0"/>
          <w:szCs w:val="21"/>
        </w:rPr>
      </w:pPr>
      <w:bookmarkStart w:id="0" w:name="_GoBack"/>
      <w:bookmarkEnd w:id="0"/>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2"/>
        <w:gridCol w:w="1729"/>
        <w:gridCol w:w="2738"/>
        <w:gridCol w:w="1646"/>
        <w:gridCol w:w="1092"/>
        <w:gridCol w:w="1310"/>
      </w:tblGrid>
      <w:tr w:rsidR="00291117">
        <w:trPr>
          <w:trHeight w:val="454"/>
          <w:jc w:val="center"/>
        </w:trPr>
        <w:tc>
          <w:tcPr>
            <w:tcW w:w="1162"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防治对象</w:t>
            </w:r>
          </w:p>
        </w:tc>
        <w:tc>
          <w:tcPr>
            <w:tcW w:w="1729"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防治时期</w:t>
            </w:r>
          </w:p>
        </w:tc>
        <w:tc>
          <w:tcPr>
            <w:tcW w:w="2738"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农药</w:t>
            </w:r>
            <w:r>
              <w:rPr>
                <w:rFonts w:asciiTheme="minorEastAsia" w:hAnsiTheme="minorEastAsia" w:hint="eastAsia"/>
                <w:color w:val="000000"/>
                <w:kern w:val="0"/>
                <w:szCs w:val="21"/>
              </w:rPr>
              <w:t>名称</w:t>
            </w:r>
          </w:p>
        </w:tc>
        <w:tc>
          <w:tcPr>
            <w:tcW w:w="1646"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每亩</w:t>
            </w:r>
            <w:r>
              <w:rPr>
                <w:rFonts w:asciiTheme="minorEastAsia" w:hAnsiTheme="minorEastAsia"/>
                <w:color w:val="000000"/>
                <w:kern w:val="0"/>
                <w:szCs w:val="21"/>
              </w:rPr>
              <w:t>使用量</w:t>
            </w:r>
          </w:p>
        </w:tc>
        <w:tc>
          <w:tcPr>
            <w:tcW w:w="1092"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使用</w:t>
            </w:r>
            <w:r>
              <w:rPr>
                <w:rFonts w:asciiTheme="minorEastAsia" w:hAnsiTheme="minorEastAsia"/>
                <w:color w:val="000000"/>
                <w:kern w:val="0"/>
                <w:szCs w:val="21"/>
              </w:rPr>
              <w:t>方法</w:t>
            </w:r>
          </w:p>
        </w:tc>
        <w:tc>
          <w:tcPr>
            <w:tcW w:w="1310" w:type="dxa"/>
            <w:vAlign w:val="center"/>
          </w:tcPr>
          <w:p w:rsidR="00291117" w:rsidRDefault="00FA04C5">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安全间隔</w:t>
            </w:r>
            <w:r>
              <w:rPr>
                <w:rFonts w:asciiTheme="minorEastAsia" w:hAnsiTheme="minorEastAsia" w:hint="eastAsia"/>
                <w:color w:val="000000"/>
                <w:kern w:val="0"/>
                <w:szCs w:val="21"/>
              </w:rPr>
              <w:t>期（天）</w:t>
            </w:r>
          </w:p>
        </w:tc>
      </w:tr>
      <w:tr w:rsidR="00FD46BF">
        <w:trPr>
          <w:trHeight w:val="454"/>
          <w:jc w:val="center"/>
        </w:trPr>
        <w:tc>
          <w:tcPr>
            <w:tcW w:w="1162" w:type="dxa"/>
            <w:vMerge w:val="restart"/>
            <w:vAlign w:val="center"/>
          </w:tcPr>
          <w:p w:rsidR="00FD46BF" w:rsidRDefault="00FD46BF">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稻瘟病</w:t>
            </w:r>
          </w:p>
        </w:tc>
        <w:tc>
          <w:tcPr>
            <w:tcW w:w="1729" w:type="dxa"/>
            <w:vMerge w:val="restart"/>
            <w:vAlign w:val="center"/>
          </w:tcPr>
          <w:p w:rsidR="00FD46BF" w:rsidRDefault="00FD46BF">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秧田至灌浆期</w:t>
            </w:r>
          </w:p>
        </w:tc>
        <w:tc>
          <w:tcPr>
            <w:tcW w:w="2738" w:type="dxa"/>
            <w:vAlign w:val="center"/>
          </w:tcPr>
          <w:p w:rsidR="00FD46BF" w:rsidRDefault="00FD46BF">
            <w:pPr>
              <w:widowControl/>
              <w:adjustRightInd w:val="0"/>
              <w:snapToGrid w:val="0"/>
              <w:jc w:val="center"/>
              <w:rPr>
                <w:rFonts w:asciiTheme="minorEastAsia" w:hAnsiTheme="minorEastAsia"/>
                <w:color w:val="000000"/>
                <w:kern w:val="0"/>
                <w:szCs w:val="21"/>
              </w:rPr>
            </w:pPr>
            <w:r w:rsidRPr="003E28BA">
              <w:rPr>
                <w:rFonts w:asciiTheme="minorEastAsia" w:hAnsiTheme="minorEastAsia"/>
                <w:color w:val="000000"/>
                <w:kern w:val="0"/>
                <w:szCs w:val="21"/>
              </w:rPr>
              <w:t>25</w:t>
            </w:r>
            <w:r>
              <w:rPr>
                <w:rFonts w:asciiTheme="minorEastAsia" w:hAnsiTheme="minorEastAsia" w:hint="eastAsia"/>
                <w:color w:val="000000"/>
                <w:kern w:val="0"/>
                <w:szCs w:val="21"/>
              </w:rPr>
              <w:t>0克/升</w:t>
            </w:r>
            <w:r w:rsidRPr="003E28BA">
              <w:rPr>
                <w:rFonts w:asciiTheme="minorEastAsia" w:hAnsiTheme="minorEastAsia" w:hint="eastAsia"/>
                <w:color w:val="000000"/>
                <w:kern w:val="0"/>
                <w:szCs w:val="21"/>
              </w:rPr>
              <w:t>嘧菌酯悬浮剂</w:t>
            </w:r>
          </w:p>
        </w:tc>
        <w:tc>
          <w:tcPr>
            <w:tcW w:w="1646" w:type="dxa"/>
            <w:vAlign w:val="center"/>
          </w:tcPr>
          <w:p w:rsidR="00FD46BF" w:rsidRDefault="00FD46BF">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r w:rsidRPr="003E28BA">
              <w:rPr>
                <w:rFonts w:asciiTheme="minorEastAsia" w:hAnsiTheme="minorEastAsia"/>
                <w:color w:val="000000"/>
                <w:kern w:val="0"/>
                <w:szCs w:val="21"/>
              </w:rPr>
              <w:t>0ml</w:t>
            </w:r>
            <w:r w:rsidRPr="003E28BA">
              <w:rPr>
                <w:rFonts w:asciiTheme="minorEastAsia" w:hAnsiTheme="minorEastAsia" w:hint="eastAsia"/>
                <w:color w:val="000000"/>
                <w:kern w:val="0"/>
                <w:szCs w:val="21"/>
              </w:rPr>
              <w:t>～</w:t>
            </w:r>
            <w:r>
              <w:rPr>
                <w:rFonts w:asciiTheme="minorEastAsia" w:hAnsiTheme="minorEastAsia" w:hint="eastAsia"/>
                <w:color w:val="000000"/>
                <w:kern w:val="0"/>
                <w:szCs w:val="21"/>
              </w:rPr>
              <w:t>4</w:t>
            </w:r>
            <w:r w:rsidRPr="003E28BA">
              <w:rPr>
                <w:rFonts w:asciiTheme="minorEastAsia" w:hAnsiTheme="minorEastAsia"/>
                <w:color w:val="000000"/>
                <w:kern w:val="0"/>
                <w:szCs w:val="21"/>
              </w:rPr>
              <w:t>0ml</w:t>
            </w:r>
          </w:p>
        </w:tc>
        <w:tc>
          <w:tcPr>
            <w:tcW w:w="1092" w:type="dxa"/>
            <w:vAlign w:val="center"/>
          </w:tcPr>
          <w:p w:rsidR="00FD46BF" w:rsidRDefault="00FD46BF">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FD46BF" w:rsidRDefault="00FD46BF">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28</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50%多菌灵可湿性粉剂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100g～1</w:t>
            </w:r>
            <w:r>
              <w:rPr>
                <w:rFonts w:asciiTheme="minorEastAsia" w:hAnsiTheme="minorEastAsia"/>
                <w:color w:val="000000"/>
                <w:kern w:val="0"/>
                <w:szCs w:val="21"/>
              </w:rPr>
              <w:t>20g</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30</w:t>
            </w:r>
          </w:p>
        </w:tc>
      </w:tr>
      <w:tr w:rsidR="00977AF4">
        <w:trPr>
          <w:trHeight w:val="454"/>
          <w:jc w:val="center"/>
        </w:trPr>
        <w:tc>
          <w:tcPr>
            <w:tcW w:w="1162" w:type="dxa"/>
            <w:vMerge/>
            <w:vAlign w:val="center"/>
          </w:tcPr>
          <w:p w:rsidR="00977AF4" w:rsidRDefault="00977AF4">
            <w:pPr>
              <w:widowControl/>
              <w:adjustRightInd w:val="0"/>
              <w:snapToGrid w:val="0"/>
              <w:jc w:val="center"/>
              <w:rPr>
                <w:rFonts w:asciiTheme="minorEastAsia" w:hAnsiTheme="minorEastAsia"/>
                <w:color w:val="000000"/>
                <w:kern w:val="0"/>
                <w:szCs w:val="21"/>
              </w:rPr>
            </w:pPr>
          </w:p>
        </w:tc>
        <w:tc>
          <w:tcPr>
            <w:tcW w:w="1729" w:type="dxa"/>
            <w:vMerge/>
            <w:vAlign w:val="center"/>
          </w:tcPr>
          <w:p w:rsidR="00977AF4" w:rsidRDefault="00977AF4">
            <w:pPr>
              <w:widowControl/>
              <w:adjustRightInd w:val="0"/>
              <w:snapToGrid w:val="0"/>
              <w:jc w:val="center"/>
              <w:rPr>
                <w:rFonts w:asciiTheme="minorEastAsia" w:hAnsiTheme="minorEastAsia"/>
                <w:color w:val="000000"/>
                <w:kern w:val="0"/>
                <w:szCs w:val="21"/>
              </w:rPr>
            </w:pPr>
          </w:p>
        </w:tc>
        <w:tc>
          <w:tcPr>
            <w:tcW w:w="2738" w:type="dxa"/>
            <w:vAlign w:val="center"/>
          </w:tcPr>
          <w:p w:rsidR="00977AF4" w:rsidRDefault="00977AF4">
            <w:pPr>
              <w:widowControl/>
              <w:adjustRightInd w:val="0"/>
              <w:snapToGrid w:val="0"/>
              <w:jc w:val="center"/>
              <w:rPr>
                <w:rFonts w:asciiTheme="minorEastAsia" w:hAnsiTheme="minorEastAsia"/>
                <w:color w:val="000000"/>
                <w:kern w:val="0"/>
                <w:szCs w:val="21"/>
              </w:rPr>
            </w:pPr>
            <w:r w:rsidRPr="0074299C">
              <w:rPr>
                <w:rFonts w:asciiTheme="minorEastAsia" w:hAnsiTheme="minorEastAsia" w:hint="eastAsia"/>
                <w:color w:val="000000"/>
                <w:kern w:val="0"/>
                <w:szCs w:val="21"/>
              </w:rPr>
              <w:t>40%稻瘟灵乳油</w:t>
            </w:r>
          </w:p>
        </w:tc>
        <w:tc>
          <w:tcPr>
            <w:tcW w:w="1646" w:type="dxa"/>
            <w:vAlign w:val="center"/>
          </w:tcPr>
          <w:p w:rsidR="00977AF4" w:rsidRDefault="00977AF4" w:rsidP="00011672">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w:t>
            </w:r>
            <w:r w:rsidRPr="003E28BA">
              <w:rPr>
                <w:rFonts w:asciiTheme="minorEastAsia" w:hAnsiTheme="minorEastAsia"/>
                <w:color w:val="000000"/>
                <w:kern w:val="0"/>
                <w:szCs w:val="21"/>
              </w:rPr>
              <w:t>0ml</w:t>
            </w:r>
            <w:r w:rsidRPr="003E28BA">
              <w:rPr>
                <w:rFonts w:asciiTheme="minorEastAsia" w:hAnsiTheme="minorEastAsia" w:hint="eastAsia"/>
                <w:color w:val="000000"/>
                <w:kern w:val="0"/>
                <w:szCs w:val="21"/>
              </w:rPr>
              <w:t>～</w:t>
            </w:r>
            <w:r>
              <w:rPr>
                <w:rFonts w:asciiTheme="minorEastAsia" w:hAnsiTheme="minorEastAsia" w:hint="eastAsia"/>
                <w:color w:val="000000"/>
                <w:kern w:val="0"/>
                <w:szCs w:val="21"/>
              </w:rPr>
              <w:t>1</w:t>
            </w:r>
            <w:r w:rsidR="00011672">
              <w:rPr>
                <w:rFonts w:asciiTheme="minorEastAsia" w:hAnsiTheme="minorEastAsia" w:hint="eastAsia"/>
                <w:color w:val="000000"/>
                <w:kern w:val="0"/>
                <w:szCs w:val="21"/>
              </w:rPr>
              <w:t>1</w:t>
            </w:r>
            <w:r w:rsidRPr="003E28BA">
              <w:rPr>
                <w:rFonts w:asciiTheme="minorEastAsia" w:hAnsiTheme="minorEastAsia"/>
                <w:color w:val="000000"/>
                <w:kern w:val="0"/>
                <w:szCs w:val="21"/>
              </w:rPr>
              <w:t>0ml</w:t>
            </w:r>
          </w:p>
        </w:tc>
        <w:tc>
          <w:tcPr>
            <w:tcW w:w="1092" w:type="dxa"/>
            <w:vAlign w:val="center"/>
          </w:tcPr>
          <w:p w:rsidR="00977AF4" w:rsidRDefault="00977AF4">
            <w:pPr>
              <w:widowControl/>
              <w:adjustRightInd w:val="0"/>
              <w:snapToGrid w:val="0"/>
              <w:jc w:val="center"/>
              <w:rPr>
                <w:rFonts w:asciiTheme="minorEastAsia" w:hAnsiTheme="minorEastAsia"/>
                <w:color w:val="000000"/>
                <w:kern w:val="0"/>
                <w:szCs w:val="21"/>
              </w:rPr>
            </w:pPr>
            <w:r w:rsidRPr="003E28BA">
              <w:rPr>
                <w:rFonts w:asciiTheme="minorEastAsia" w:hAnsiTheme="minorEastAsia" w:hint="eastAsia"/>
                <w:color w:val="000000"/>
                <w:kern w:val="0"/>
                <w:szCs w:val="21"/>
              </w:rPr>
              <w:t>喷雾</w:t>
            </w:r>
          </w:p>
        </w:tc>
        <w:tc>
          <w:tcPr>
            <w:tcW w:w="1310" w:type="dxa"/>
            <w:vAlign w:val="center"/>
          </w:tcPr>
          <w:p w:rsidR="00977AF4" w:rsidRDefault="00977AF4">
            <w:pPr>
              <w:widowControl/>
              <w:adjustRightInd w:val="0"/>
              <w:snapToGrid w:val="0"/>
              <w:jc w:val="center"/>
              <w:rPr>
                <w:rFonts w:asciiTheme="minorEastAsia" w:hAnsiTheme="minorEastAsia"/>
                <w:color w:val="000000"/>
                <w:kern w:val="0"/>
                <w:szCs w:val="21"/>
              </w:rPr>
            </w:pPr>
            <w:r w:rsidRPr="003E28BA">
              <w:rPr>
                <w:rFonts w:asciiTheme="minorEastAsia" w:hAnsiTheme="minorEastAsia"/>
                <w:color w:val="000000"/>
                <w:kern w:val="0"/>
                <w:szCs w:val="21"/>
              </w:rPr>
              <w:t>28</w:t>
            </w:r>
          </w:p>
        </w:tc>
      </w:tr>
      <w:tr w:rsidR="00977AF4">
        <w:trPr>
          <w:trHeight w:val="454"/>
          <w:jc w:val="center"/>
        </w:trPr>
        <w:tc>
          <w:tcPr>
            <w:tcW w:w="1162" w:type="dxa"/>
            <w:vMerge/>
            <w:vAlign w:val="center"/>
          </w:tcPr>
          <w:p w:rsidR="00977AF4" w:rsidRDefault="00977AF4">
            <w:pPr>
              <w:widowControl/>
              <w:adjustRightInd w:val="0"/>
              <w:snapToGrid w:val="0"/>
              <w:jc w:val="center"/>
              <w:rPr>
                <w:rFonts w:asciiTheme="minorEastAsia" w:hAnsiTheme="minorEastAsia"/>
                <w:color w:val="000000"/>
                <w:kern w:val="0"/>
                <w:szCs w:val="21"/>
              </w:rPr>
            </w:pPr>
          </w:p>
        </w:tc>
        <w:tc>
          <w:tcPr>
            <w:tcW w:w="1729" w:type="dxa"/>
            <w:vMerge/>
            <w:vAlign w:val="center"/>
          </w:tcPr>
          <w:p w:rsidR="00977AF4" w:rsidRDefault="00977AF4">
            <w:pPr>
              <w:widowControl/>
              <w:adjustRightInd w:val="0"/>
              <w:snapToGrid w:val="0"/>
              <w:jc w:val="center"/>
              <w:rPr>
                <w:rFonts w:asciiTheme="minorEastAsia" w:hAnsiTheme="minorEastAsia"/>
                <w:color w:val="000000"/>
                <w:kern w:val="0"/>
                <w:szCs w:val="21"/>
              </w:rPr>
            </w:pPr>
          </w:p>
        </w:tc>
        <w:tc>
          <w:tcPr>
            <w:tcW w:w="2738" w:type="dxa"/>
            <w:vAlign w:val="center"/>
          </w:tcPr>
          <w:p w:rsidR="00977AF4" w:rsidRDefault="00977AF4">
            <w:pPr>
              <w:widowControl/>
              <w:adjustRightInd w:val="0"/>
              <w:snapToGrid w:val="0"/>
              <w:jc w:val="center"/>
              <w:rPr>
                <w:rFonts w:asciiTheme="minorEastAsia" w:hAnsiTheme="minorEastAsia"/>
                <w:color w:val="000000"/>
                <w:kern w:val="0"/>
                <w:szCs w:val="21"/>
              </w:rPr>
            </w:pPr>
            <w:r w:rsidRPr="0074299C">
              <w:rPr>
                <w:rFonts w:asciiTheme="minorEastAsia" w:hAnsiTheme="minorEastAsia" w:hint="eastAsia"/>
                <w:color w:val="000000"/>
                <w:kern w:val="0"/>
                <w:szCs w:val="21"/>
              </w:rPr>
              <w:t>20%三环唑可湿性粉剂</w:t>
            </w:r>
          </w:p>
        </w:tc>
        <w:tc>
          <w:tcPr>
            <w:tcW w:w="1646" w:type="dxa"/>
            <w:vAlign w:val="center"/>
          </w:tcPr>
          <w:p w:rsidR="00977AF4" w:rsidRDefault="00977AF4">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8</w:t>
            </w:r>
            <w:r w:rsidRPr="0003187F">
              <w:rPr>
                <w:rFonts w:asciiTheme="minorEastAsia" w:hAnsiTheme="minorEastAsia" w:hint="eastAsia"/>
                <w:color w:val="000000"/>
                <w:kern w:val="0"/>
                <w:szCs w:val="21"/>
              </w:rPr>
              <w:t>0g</w:t>
            </w:r>
            <w:r w:rsidRPr="003E28BA">
              <w:rPr>
                <w:rFonts w:asciiTheme="minorEastAsia" w:hAnsiTheme="minorEastAsia" w:hint="eastAsia"/>
                <w:color w:val="000000"/>
                <w:kern w:val="0"/>
                <w:szCs w:val="21"/>
              </w:rPr>
              <w:t>～</w:t>
            </w:r>
            <w:r>
              <w:rPr>
                <w:rFonts w:asciiTheme="minorEastAsia" w:hAnsiTheme="minorEastAsia" w:hint="eastAsia"/>
                <w:color w:val="000000"/>
                <w:kern w:val="0"/>
                <w:szCs w:val="21"/>
              </w:rPr>
              <w:t>10</w:t>
            </w:r>
            <w:r w:rsidRPr="003E28BA">
              <w:rPr>
                <w:rFonts w:asciiTheme="minorEastAsia" w:hAnsiTheme="minorEastAsia"/>
                <w:color w:val="000000"/>
                <w:kern w:val="0"/>
                <w:szCs w:val="21"/>
              </w:rPr>
              <w:t>0g</w:t>
            </w:r>
          </w:p>
        </w:tc>
        <w:tc>
          <w:tcPr>
            <w:tcW w:w="1092" w:type="dxa"/>
            <w:vAlign w:val="center"/>
          </w:tcPr>
          <w:p w:rsidR="00977AF4" w:rsidRDefault="00977AF4">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喷雾</w:t>
            </w:r>
          </w:p>
        </w:tc>
        <w:tc>
          <w:tcPr>
            <w:tcW w:w="1310" w:type="dxa"/>
            <w:vAlign w:val="center"/>
          </w:tcPr>
          <w:p w:rsidR="00977AF4" w:rsidRDefault="00977AF4">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3</w:t>
            </w:r>
            <w:r>
              <w:rPr>
                <w:rFonts w:asciiTheme="minorEastAsia" w:hAnsiTheme="minorEastAsia" w:hint="eastAsia"/>
                <w:color w:val="000000"/>
                <w:kern w:val="0"/>
                <w:szCs w:val="21"/>
              </w:rPr>
              <w:t>5</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2%春雷霉素水剂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100ml～150ml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21</w:t>
            </w:r>
          </w:p>
        </w:tc>
      </w:tr>
      <w:tr w:rsidR="00B64179">
        <w:trPr>
          <w:trHeight w:val="454"/>
          <w:jc w:val="center"/>
        </w:trPr>
        <w:tc>
          <w:tcPr>
            <w:tcW w:w="1162"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纹枯病</w:t>
            </w:r>
          </w:p>
        </w:tc>
        <w:tc>
          <w:tcPr>
            <w:tcW w:w="1729"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拔节至抽穗扬花期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25%</w:t>
            </w:r>
            <w:r>
              <w:rPr>
                <w:rFonts w:asciiTheme="minorEastAsia" w:hAnsiTheme="minorEastAsia" w:hint="eastAsia"/>
                <w:color w:val="000000"/>
                <w:kern w:val="0"/>
                <w:szCs w:val="21"/>
              </w:rPr>
              <w:t>丙环唑乳油</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30ml</w:t>
            </w:r>
            <w:r>
              <w:rPr>
                <w:rFonts w:asciiTheme="minorEastAsia" w:hAnsiTheme="minorEastAsia" w:hint="eastAsia"/>
                <w:color w:val="000000"/>
                <w:kern w:val="0"/>
                <w:szCs w:val="21"/>
              </w:rPr>
              <w:t>～</w:t>
            </w:r>
            <w:r>
              <w:rPr>
                <w:rFonts w:asciiTheme="minorEastAsia" w:hAnsiTheme="minorEastAsia"/>
                <w:color w:val="000000"/>
                <w:kern w:val="0"/>
                <w:szCs w:val="21"/>
              </w:rPr>
              <w:t>40ml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28</w:t>
            </w:r>
          </w:p>
        </w:tc>
      </w:tr>
      <w:tr w:rsidR="00011672">
        <w:trPr>
          <w:trHeight w:val="454"/>
          <w:jc w:val="center"/>
        </w:trPr>
        <w:tc>
          <w:tcPr>
            <w:tcW w:w="1162" w:type="dxa"/>
            <w:vMerge/>
            <w:vAlign w:val="center"/>
          </w:tcPr>
          <w:p w:rsidR="00011672" w:rsidRDefault="00011672">
            <w:pPr>
              <w:widowControl/>
              <w:adjustRightInd w:val="0"/>
              <w:snapToGrid w:val="0"/>
              <w:jc w:val="center"/>
              <w:rPr>
                <w:rFonts w:asciiTheme="minorEastAsia" w:hAnsiTheme="minorEastAsia"/>
                <w:color w:val="000000"/>
                <w:kern w:val="0"/>
                <w:szCs w:val="21"/>
              </w:rPr>
            </w:pPr>
          </w:p>
        </w:tc>
        <w:tc>
          <w:tcPr>
            <w:tcW w:w="1729" w:type="dxa"/>
            <w:vMerge/>
            <w:vAlign w:val="center"/>
          </w:tcPr>
          <w:p w:rsidR="00011672" w:rsidRDefault="00011672">
            <w:pPr>
              <w:widowControl/>
              <w:adjustRightInd w:val="0"/>
              <w:snapToGrid w:val="0"/>
              <w:jc w:val="center"/>
              <w:rPr>
                <w:rFonts w:asciiTheme="minorEastAsia" w:hAnsiTheme="minorEastAsia"/>
                <w:color w:val="000000"/>
                <w:kern w:val="0"/>
                <w:szCs w:val="21"/>
              </w:rPr>
            </w:pPr>
          </w:p>
        </w:tc>
        <w:tc>
          <w:tcPr>
            <w:tcW w:w="2738" w:type="dxa"/>
            <w:vAlign w:val="center"/>
          </w:tcPr>
          <w:p w:rsidR="00011672" w:rsidRDefault="00011672">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50%多菌灵可湿性粉剂</w:t>
            </w:r>
          </w:p>
        </w:tc>
        <w:tc>
          <w:tcPr>
            <w:tcW w:w="1646" w:type="dxa"/>
            <w:vAlign w:val="center"/>
          </w:tcPr>
          <w:p w:rsidR="00011672" w:rsidRDefault="00011672">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100g</w:t>
            </w:r>
            <w:r w:rsidRPr="003E28BA">
              <w:rPr>
                <w:rFonts w:asciiTheme="minorEastAsia" w:hAnsiTheme="minorEastAsia" w:hint="eastAsia"/>
                <w:color w:val="000000"/>
                <w:kern w:val="0"/>
                <w:szCs w:val="21"/>
              </w:rPr>
              <w:t>～</w:t>
            </w:r>
            <w:r>
              <w:rPr>
                <w:rFonts w:asciiTheme="minorEastAsia" w:hAnsiTheme="minorEastAsia" w:hint="eastAsia"/>
                <w:color w:val="000000"/>
                <w:kern w:val="0"/>
                <w:szCs w:val="21"/>
              </w:rPr>
              <w:t>1</w:t>
            </w:r>
            <w:r w:rsidRPr="003E28BA">
              <w:rPr>
                <w:rFonts w:asciiTheme="minorEastAsia" w:hAnsiTheme="minorEastAsia"/>
                <w:color w:val="000000"/>
                <w:kern w:val="0"/>
                <w:szCs w:val="21"/>
              </w:rPr>
              <w:t>20g</w:t>
            </w:r>
          </w:p>
        </w:tc>
        <w:tc>
          <w:tcPr>
            <w:tcW w:w="1092" w:type="dxa"/>
            <w:vAlign w:val="center"/>
          </w:tcPr>
          <w:p w:rsidR="00011672" w:rsidRDefault="00011672">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喷雾</w:t>
            </w:r>
          </w:p>
        </w:tc>
        <w:tc>
          <w:tcPr>
            <w:tcW w:w="1310" w:type="dxa"/>
            <w:vAlign w:val="center"/>
          </w:tcPr>
          <w:p w:rsidR="00011672" w:rsidRDefault="00011672">
            <w:pPr>
              <w:widowControl/>
              <w:adjustRightInd w:val="0"/>
              <w:snapToGrid w:val="0"/>
              <w:jc w:val="center"/>
              <w:rPr>
                <w:rFonts w:asciiTheme="minorEastAsia" w:hAnsiTheme="minorEastAsia"/>
                <w:color w:val="000000"/>
                <w:kern w:val="0"/>
                <w:szCs w:val="21"/>
              </w:rPr>
            </w:pPr>
            <w:r w:rsidRPr="0003187F">
              <w:rPr>
                <w:rFonts w:asciiTheme="minorEastAsia" w:hAnsiTheme="minorEastAsia" w:hint="eastAsia"/>
                <w:color w:val="000000"/>
                <w:kern w:val="0"/>
                <w:szCs w:val="21"/>
              </w:rPr>
              <w:t>30</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2738" w:type="dxa"/>
            <w:vAlign w:val="center"/>
          </w:tcPr>
          <w:p w:rsidR="00B64179" w:rsidRDefault="00B64179" w:rsidP="00A70687">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20%井冈霉素水溶剂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25g</w:t>
            </w:r>
            <w:r>
              <w:rPr>
                <w:rFonts w:asciiTheme="minorEastAsia" w:hAnsiTheme="minorEastAsia" w:hint="eastAsia"/>
                <w:color w:val="000000"/>
                <w:kern w:val="0"/>
                <w:szCs w:val="21"/>
              </w:rPr>
              <w:t>～</w:t>
            </w:r>
            <w:r>
              <w:rPr>
                <w:rFonts w:asciiTheme="minorEastAsia" w:hAnsiTheme="minorEastAsia"/>
                <w:color w:val="000000"/>
                <w:kern w:val="0"/>
                <w:szCs w:val="21"/>
              </w:rPr>
              <w:t>50g</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15</w:t>
            </w:r>
          </w:p>
        </w:tc>
      </w:tr>
      <w:tr w:rsidR="00B64179">
        <w:trPr>
          <w:trHeight w:val="454"/>
          <w:jc w:val="center"/>
        </w:trPr>
        <w:tc>
          <w:tcPr>
            <w:tcW w:w="1162"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稻曲病</w:t>
            </w:r>
          </w:p>
        </w:tc>
        <w:tc>
          <w:tcPr>
            <w:tcW w:w="1729"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孕穗至灌浆期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430</w:t>
            </w:r>
            <w:r>
              <w:rPr>
                <w:rFonts w:asciiTheme="minorEastAsia" w:hAnsiTheme="minorEastAsia" w:hint="eastAsia"/>
                <w:color w:val="000000"/>
                <w:kern w:val="0"/>
                <w:szCs w:val="21"/>
              </w:rPr>
              <w:t>g/L戊唑醇悬浮剂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10ml</w:t>
            </w:r>
            <w:r>
              <w:rPr>
                <w:rFonts w:asciiTheme="minorEastAsia" w:hAnsiTheme="minorEastAsia" w:hint="eastAsia"/>
                <w:color w:val="000000"/>
                <w:kern w:val="0"/>
                <w:szCs w:val="21"/>
              </w:rPr>
              <w:t>～</w:t>
            </w:r>
            <w:r>
              <w:rPr>
                <w:rFonts w:asciiTheme="minorEastAsia" w:hAnsiTheme="minorEastAsia"/>
                <w:color w:val="000000"/>
                <w:kern w:val="0"/>
                <w:szCs w:val="21"/>
              </w:rPr>
              <w:t>20ml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35</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20%井冈霉素可溶性粉剂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30ml～40ml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14</w:t>
            </w:r>
          </w:p>
        </w:tc>
      </w:tr>
      <w:tr w:rsidR="00B64179">
        <w:trPr>
          <w:trHeight w:val="454"/>
          <w:jc w:val="center"/>
        </w:trPr>
        <w:tc>
          <w:tcPr>
            <w:tcW w:w="1162"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稻飞虱</w:t>
            </w:r>
          </w:p>
        </w:tc>
        <w:tc>
          <w:tcPr>
            <w:tcW w:w="1729"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秧田至灌浆期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10%</w:t>
            </w:r>
            <w:r>
              <w:rPr>
                <w:rFonts w:asciiTheme="minorEastAsia" w:hAnsiTheme="minorEastAsia" w:hint="eastAsia"/>
                <w:color w:val="000000"/>
                <w:kern w:val="0"/>
                <w:szCs w:val="21"/>
              </w:rPr>
              <w:t>吡虫啉可湿性粉剂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10g</w:t>
            </w:r>
            <w:r>
              <w:rPr>
                <w:rFonts w:asciiTheme="minorEastAsia" w:hAnsiTheme="minorEastAsia" w:hint="eastAsia"/>
                <w:color w:val="000000"/>
                <w:kern w:val="0"/>
                <w:szCs w:val="21"/>
              </w:rPr>
              <w:t>～</w:t>
            </w:r>
            <w:r>
              <w:rPr>
                <w:rFonts w:asciiTheme="minorEastAsia" w:hAnsiTheme="minorEastAsia"/>
                <w:color w:val="000000"/>
                <w:kern w:val="0"/>
                <w:szCs w:val="21"/>
              </w:rPr>
              <w:t>20g</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20</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25%噻嗪酮可湿性粉剂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20g～30g</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14</w:t>
            </w:r>
          </w:p>
        </w:tc>
      </w:tr>
      <w:tr w:rsidR="00B64179">
        <w:trPr>
          <w:trHeight w:val="454"/>
          <w:jc w:val="center"/>
        </w:trPr>
        <w:tc>
          <w:tcPr>
            <w:tcW w:w="116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稻纵卷叶螟</w:t>
            </w:r>
          </w:p>
        </w:tc>
        <w:tc>
          <w:tcPr>
            <w:tcW w:w="1729"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分蘖至抽穗期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5%甲氨基阿维菌素苯甲酸盐悬浮剂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10ml～20ml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21</w:t>
            </w:r>
          </w:p>
        </w:tc>
      </w:tr>
      <w:tr w:rsidR="00B64179">
        <w:trPr>
          <w:trHeight w:val="454"/>
          <w:jc w:val="center"/>
        </w:trPr>
        <w:tc>
          <w:tcPr>
            <w:tcW w:w="1162" w:type="dxa"/>
            <w:vMerge w:val="restart"/>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二化螟</w:t>
            </w:r>
          </w:p>
        </w:tc>
        <w:tc>
          <w:tcPr>
            <w:tcW w:w="1729" w:type="dxa"/>
            <w:vAlign w:val="center"/>
          </w:tcPr>
          <w:p w:rsidR="00B64179" w:rsidRDefault="00B64179">
            <w:pPr>
              <w:jc w:val="center"/>
              <w:rPr>
                <w:rFonts w:asciiTheme="minorEastAsia" w:hAnsiTheme="minorEastAsia"/>
                <w:color w:val="000000"/>
                <w:kern w:val="0"/>
                <w:szCs w:val="21"/>
              </w:rPr>
            </w:pPr>
            <w:r>
              <w:rPr>
                <w:rFonts w:asciiTheme="minorEastAsia" w:hAnsiTheme="minorEastAsia" w:hint="eastAsia"/>
                <w:color w:val="000000"/>
                <w:kern w:val="0"/>
                <w:szCs w:val="21"/>
              </w:rPr>
              <w:t>秧田至抽穗扬花期</w:t>
            </w:r>
          </w:p>
        </w:tc>
        <w:tc>
          <w:tcPr>
            <w:tcW w:w="2738" w:type="dxa"/>
            <w:vAlign w:val="center"/>
          </w:tcPr>
          <w:p w:rsidR="00B64179" w:rsidRDefault="00B64179" w:rsidP="002B1D56">
            <w:pPr>
              <w:jc w:val="center"/>
              <w:rPr>
                <w:rFonts w:asciiTheme="minorEastAsia" w:hAnsiTheme="minorEastAsia"/>
                <w:color w:val="000000"/>
                <w:kern w:val="0"/>
                <w:szCs w:val="21"/>
              </w:rPr>
            </w:pPr>
            <w:r>
              <w:rPr>
                <w:rFonts w:asciiTheme="minorEastAsia" w:hAnsiTheme="minorEastAsia" w:hint="eastAsia"/>
                <w:color w:val="000000"/>
                <w:kern w:val="0"/>
                <w:szCs w:val="21"/>
              </w:rPr>
              <w:t>苏云金杆菌可湿性粉剂（</w:t>
            </w:r>
            <w:r>
              <w:rPr>
                <w:rFonts w:asciiTheme="minorEastAsia" w:hAnsiTheme="minorEastAsia"/>
                <w:color w:val="000000"/>
                <w:kern w:val="0"/>
                <w:szCs w:val="21"/>
              </w:rPr>
              <w:t>8000IU/</w:t>
            </w:r>
            <w:r w:rsidR="002B1D56">
              <w:rPr>
                <w:rFonts w:asciiTheme="minorEastAsia" w:hAnsiTheme="minorEastAsia" w:hint="eastAsia"/>
                <w:color w:val="000000"/>
                <w:kern w:val="0"/>
                <w:szCs w:val="21"/>
              </w:rPr>
              <w:t>毫克</w:t>
            </w:r>
            <w:r>
              <w:rPr>
                <w:rFonts w:asciiTheme="minorEastAsia" w:hAnsiTheme="minorEastAsia" w:hint="eastAsia"/>
                <w:color w:val="000000"/>
                <w:kern w:val="0"/>
                <w:szCs w:val="21"/>
              </w:rPr>
              <w:t>）</w:t>
            </w:r>
          </w:p>
        </w:tc>
        <w:tc>
          <w:tcPr>
            <w:tcW w:w="1646" w:type="dxa"/>
            <w:vAlign w:val="center"/>
          </w:tcPr>
          <w:p w:rsidR="00B64179" w:rsidRDefault="00B64179" w:rsidP="002B1D56">
            <w:pPr>
              <w:jc w:val="center"/>
              <w:rPr>
                <w:rFonts w:asciiTheme="minorEastAsia" w:hAnsiTheme="minorEastAsia"/>
                <w:color w:val="000000"/>
                <w:kern w:val="0"/>
                <w:szCs w:val="21"/>
              </w:rPr>
            </w:pPr>
            <w:r>
              <w:rPr>
                <w:rFonts w:asciiTheme="minorEastAsia" w:hAnsiTheme="minorEastAsia"/>
                <w:color w:val="000000"/>
                <w:kern w:val="0"/>
                <w:szCs w:val="21"/>
              </w:rPr>
              <w:t>200g</w:t>
            </w:r>
            <w:r>
              <w:rPr>
                <w:rFonts w:asciiTheme="minorEastAsia" w:hAnsiTheme="minorEastAsia" w:hint="eastAsia"/>
                <w:color w:val="000000"/>
                <w:kern w:val="0"/>
                <w:szCs w:val="21"/>
              </w:rPr>
              <w:t>～</w:t>
            </w:r>
            <w:r w:rsidR="002B1D56">
              <w:rPr>
                <w:rFonts w:asciiTheme="minorEastAsia" w:hAnsiTheme="minorEastAsia" w:hint="eastAsia"/>
                <w:color w:val="000000"/>
                <w:kern w:val="0"/>
                <w:szCs w:val="21"/>
              </w:rPr>
              <w:t>3</w:t>
            </w:r>
            <w:r w:rsidR="002B1D56">
              <w:rPr>
                <w:rFonts w:asciiTheme="minorEastAsia" w:hAnsiTheme="minorEastAsia"/>
                <w:color w:val="000000"/>
                <w:kern w:val="0"/>
                <w:szCs w:val="21"/>
              </w:rPr>
              <w:t>00g</w:t>
            </w:r>
          </w:p>
        </w:tc>
        <w:tc>
          <w:tcPr>
            <w:tcW w:w="1092" w:type="dxa"/>
            <w:vAlign w:val="center"/>
          </w:tcPr>
          <w:p w:rsidR="00B64179" w:rsidRDefault="00B64179">
            <w:pPr>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jc w:val="center"/>
              <w:rPr>
                <w:rFonts w:asciiTheme="minorEastAsia" w:hAnsiTheme="minorEastAsia"/>
                <w:color w:val="000000"/>
                <w:kern w:val="0"/>
                <w:szCs w:val="21"/>
              </w:rPr>
            </w:pPr>
            <w:r>
              <w:rPr>
                <w:rFonts w:asciiTheme="minorEastAsia" w:hAnsiTheme="minorEastAsia"/>
                <w:color w:val="000000"/>
                <w:kern w:val="0"/>
                <w:szCs w:val="21"/>
              </w:rPr>
              <w:t>/</w:t>
            </w:r>
          </w:p>
        </w:tc>
      </w:tr>
      <w:tr w:rsidR="00B64179">
        <w:trPr>
          <w:trHeight w:val="454"/>
          <w:jc w:val="center"/>
        </w:trPr>
        <w:tc>
          <w:tcPr>
            <w:tcW w:w="1162" w:type="dxa"/>
            <w:vMerge/>
            <w:vAlign w:val="center"/>
          </w:tcPr>
          <w:p w:rsidR="00B64179" w:rsidRDefault="00B64179">
            <w:pPr>
              <w:widowControl/>
              <w:adjustRightInd w:val="0"/>
              <w:snapToGrid w:val="0"/>
              <w:jc w:val="center"/>
              <w:rPr>
                <w:rFonts w:asciiTheme="minorEastAsia" w:hAnsiTheme="minorEastAsia"/>
                <w:color w:val="000000"/>
                <w:kern w:val="0"/>
                <w:szCs w:val="21"/>
              </w:rPr>
            </w:pPr>
          </w:p>
        </w:tc>
        <w:tc>
          <w:tcPr>
            <w:tcW w:w="1729" w:type="dxa"/>
            <w:vAlign w:val="center"/>
          </w:tcPr>
          <w:p w:rsidR="00B64179" w:rsidRDefault="00B64179">
            <w:pPr>
              <w:jc w:val="center"/>
              <w:rPr>
                <w:rFonts w:asciiTheme="minorEastAsia" w:hAnsiTheme="minorEastAsia"/>
                <w:color w:val="000000"/>
                <w:kern w:val="0"/>
                <w:szCs w:val="21"/>
              </w:rPr>
            </w:pPr>
            <w:r>
              <w:rPr>
                <w:rFonts w:asciiTheme="minorEastAsia" w:hAnsiTheme="minorEastAsia" w:hint="eastAsia"/>
                <w:color w:val="000000"/>
                <w:kern w:val="0"/>
                <w:szCs w:val="21"/>
              </w:rPr>
              <w:t>孕穗至灌浆期</w:t>
            </w:r>
          </w:p>
        </w:tc>
        <w:tc>
          <w:tcPr>
            <w:tcW w:w="2738" w:type="dxa"/>
            <w:vAlign w:val="center"/>
          </w:tcPr>
          <w:p w:rsidR="00B64179" w:rsidRDefault="00B64179">
            <w:pPr>
              <w:jc w:val="center"/>
              <w:rPr>
                <w:rFonts w:asciiTheme="minorEastAsia" w:hAnsiTheme="minorEastAsia"/>
                <w:color w:val="000000"/>
                <w:kern w:val="0"/>
                <w:szCs w:val="21"/>
              </w:rPr>
            </w:pPr>
            <w:r>
              <w:rPr>
                <w:rFonts w:asciiTheme="minorEastAsia" w:hAnsiTheme="minorEastAsia"/>
                <w:color w:val="000000"/>
                <w:kern w:val="0"/>
                <w:szCs w:val="21"/>
              </w:rPr>
              <w:t>20%</w:t>
            </w:r>
            <w:r>
              <w:rPr>
                <w:rFonts w:asciiTheme="minorEastAsia" w:hAnsiTheme="minorEastAsia" w:hint="eastAsia"/>
                <w:color w:val="000000"/>
                <w:kern w:val="0"/>
                <w:szCs w:val="21"/>
              </w:rPr>
              <w:t>氯虫苯甲酰胺悬浮剂</w:t>
            </w:r>
          </w:p>
        </w:tc>
        <w:tc>
          <w:tcPr>
            <w:tcW w:w="1646" w:type="dxa"/>
            <w:vAlign w:val="center"/>
          </w:tcPr>
          <w:p w:rsidR="00B64179" w:rsidRDefault="00B64179">
            <w:pPr>
              <w:jc w:val="center"/>
              <w:rPr>
                <w:rFonts w:asciiTheme="minorEastAsia" w:hAnsiTheme="minorEastAsia"/>
                <w:color w:val="000000"/>
                <w:kern w:val="0"/>
                <w:szCs w:val="21"/>
              </w:rPr>
            </w:pPr>
            <w:r>
              <w:rPr>
                <w:rFonts w:asciiTheme="minorEastAsia" w:hAnsiTheme="minorEastAsia"/>
                <w:color w:val="000000"/>
                <w:kern w:val="0"/>
                <w:szCs w:val="21"/>
              </w:rPr>
              <w:t>5ml</w:t>
            </w:r>
            <w:r>
              <w:rPr>
                <w:rFonts w:asciiTheme="minorEastAsia" w:hAnsiTheme="minorEastAsia" w:hint="eastAsia"/>
                <w:color w:val="000000"/>
                <w:kern w:val="0"/>
                <w:szCs w:val="21"/>
              </w:rPr>
              <w:t>～</w:t>
            </w:r>
            <w:r>
              <w:rPr>
                <w:rFonts w:asciiTheme="minorEastAsia" w:hAnsiTheme="minorEastAsia"/>
                <w:color w:val="000000"/>
                <w:kern w:val="0"/>
                <w:szCs w:val="21"/>
              </w:rPr>
              <w:t>10ml</w:t>
            </w:r>
          </w:p>
        </w:tc>
        <w:tc>
          <w:tcPr>
            <w:tcW w:w="1092" w:type="dxa"/>
            <w:vAlign w:val="center"/>
          </w:tcPr>
          <w:p w:rsidR="00B64179" w:rsidRDefault="00B64179">
            <w:pPr>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jc w:val="center"/>
              <w:rPr>
                <w:rFonts w:asciiTheme="minorEastAsia" w:hAnsiTheme="minorEastAsia"/>
                <w:color w:val="000000"/>
                <w:kern w:val="0"/>
                <w:szCs w:val="21"/>
              </w:rPr>
            </w:pPr>
            <w:r>
              <w:rPr>
                <w:rFonts w:asciiTheme="minorEastAsia" w:hAnsiTheme="minorEastAsia"/>
                <w:color w:val="000000"/>
                <w:kern w:val="0"/>
                <w:szCs w:val="21"/>
              </w:rPr>
              <w:t>7</w:t>
            </w:r>
          </w:p>
        </w:tc>
      </w:tr>
      <w:tr w:rsidR="00B64179">
        <w:trPr>
          <w:trHeight w:val="454"/>
          <w:jc w:val="center"/>
        </w:trPr>
        <w:tc>
          <w:tcPr>
            <w:tcW w:w="116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稻蓟马</w:t>
            </w:r>
          </w:p>
        </w:tc>
        <w:tc>
          <w:tcPr>
            <w:tcW w:w="1729" w:type="dxa"/>
            <w:vAlign w:val="center"/>
          </w:tcPr>
          <w:p w:rsidR="00B64179" w:rsidRDefault="00B64179">
            <w:pPr>
              <w:jc w:val="center"/>
              <w:rPr>
                <w:rFonts w:asciiTheme="minorEastAsia" w:hAnsiTheme="minorEastAsia"/>
                <w:color w:val="000000"/>
                <w:kern w:val="0"/>
                <w:szCs w:val="21"/>
              </w:rPr>
            </w:pPr>
            <w:r>
              <w:rPr>
                <w:rFonts w:asciiTheme="minorEastAsia" w:hAnsiTheme="minorEastAsia" w:hint="eastAsia"/>
                <w:color w:val="000000"/>
                <w:kern w:val="0"/>
                <w:szCs w:val="21"/>
              </w:rPr>
              <w:t>秧田至抽穗扬花期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50%</w:t>
            </w:r>
            <w:r>
              <w:rPr>
                <w:rFonts w:asciiTheme="minorEastAsia" w:hAnsiTheme="minorEastAsia" w:hint="eastAsia"/>
                <w:color w:val="000000"/>
                <w:kern w:val="0"/>
                <w:szCs w:val="21"/>
              </w:rPr>
              <w:t>吡蚜酮可湿性粉剂</w:t>
            </w:r>
          </w:p>
        </w:tc>
        <w:tc>
          <w:tcPr>
            <w:tcW w:w="1646" w:type="dxa"/>
            <w:vAlign w:val="center"/>
          </w:tcPr>
          <w:p w:rsidR="00B64179" w:rsidRDefault="002B1D56" w:rsidP="002B1D56">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w:t>
            </w:r>
            <w:r>
              <w:rPr>
                <w:rFonts w:asciiTheme="minorEastAsia" w:hAnsiTheme="minorEastAsia"/>
                <w:color w:val="000000"/>
                <w:kern w:val="0"/>
                <w:szCs w:val="21"/>
              </w:rPr>
              <w:t>g</w:t>
            </w:r>
            <w:r w:rsidR="00B64179">
              <w:rPr>
                <w:rFonts w:asciiTheme="minorEastAsia" w:hAnsiTheme="minorEastAsia" w:hint="eastAsia"/>
                <w:color w:val="000000"/>
                <w:kern w:val="0"/>
                <w:szCs w:val="21"/>
              </w:rPr>
              <w:t>～</w:t>
            </w:r>
            <w:r>
              <w:rPr>
                <w:rFonts w:asciiTheme="minorEastAsia" w:hAnsiTheme="minorEastAsia" w:hint="eastAsia"/>
                <w:color w:val="000000"/>
                <w:kern w:val="0"/>
                <w:szCs w:val="21"/>
              </w:rPr>
              <w:t>12</w:t>
            </w:r>
            <w:r w:rsidR="00B64179">
              <w:rPr>
                <w:rFonts w:asciiTheme="minorEastAsia" w:hAnsiTheme="minorEastAsia"/>
                <w:color w:val="000000"/>
                <w:kern w:val="0"/>
                <w:szCs w:val="21"/>
              </w:rPr>
              <w:t>g</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21</w:t>
            </w:r>
          </w:p>
        </w:tc>
      </w:tr>
      <w:tr w:rsidR="00B64179">
        <w:trPr>
          <w:trHeight w:val="454"/>
          <w:jc w:val="center"/>
        </w:trPr>
        <w:tc>
          <w:tcPr>
            <w:tcW w:w="116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稻田杂草</w:t>
            </w:r>
          </w:p>
        </w:tc>
        <w:tc>
          <w:tcPr>
            <w:tcW w:w="1729"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移栽前</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33%</w:t>
            </w:r>
            <w:r>
              <w:rPr>
                <w:rFonts w:asciiTheme="minorEastAsia" w:hAnsiTheme="minorEastAsia" w:hint="eastAsia"/>
                <w:color w:val="000000"/>
                <w:kern w:val="0"/>
                <w:szCs w:val="21"/>
              </w:rPr>
              <w:t>二甲戊灵乳油</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150ml</w:t>
            </w:r>
            <w:r>
              <w:rPr>
                <w:rFonts w:asciiTheme="minorEastAsia" w:hAnsiTheme="minorEastAsia" w:hint="eastAsia"/>
                <w:color w:val="000000"/>
                <w:kern w:val="0"/>
                <w:szCs w:val="21"/>
              </w:rPr>
              <w:t>～</w:t>
            </w:r>
            <w:r>
              <w:rPr>
                <w:rFonts w:asciiTheme="minorEastAsia" w:hAnsiTheme="minorEastAsia"/>
                <w:color w:val="000000"/>
                <w:kern w:val="0"/>
                <w:szCs w:val="21"/>
              </w:rPr>
              <w:t>200ml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喷雾（土壤封闭）</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w:t>
            </w:r>
          </w:p>
        </w:tc>
      </w:tr>
      <w:tr w:rsidR="00C30A6B">
        <w:trPr>
          <w:trHeight w:val="454"/>
          <w:jc w:val="center"/>
        </w:trPr>
        <w:tc>
          <w:tcPr>
            <w:tcW w:w="1162" w:type="dxa"/>
            <w:vAlign w:val="center"/>
          </w:tcPr>
          <w:p w:rsidR="00C30A6B" w:rsidRDefault="00C30A6B">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稗草</w:t>
            </w:r>
            <w:r>
              <w:rPr>
                <w:rFonts w:asciiTheme="minorEastAsia" w:hAnsiTheme="minorEastAsia"/>
                <w:color w:val="000000"/>
                <w:kern w:val="0"/>
                <w:szCs w:val="21"/>
              </w:rPr>
              <w:t>/</w:t>
            </w:r>
            <w:r>
              <w:rPr>
                <w:rFonts w:asciiTheme="minorEastAsia" w:hAnsiTheme="minorEastAsia" w:hint="eastAsia"/>
                <w:color w:val="000000"/>
                <w:kern w:val="0"/>
                <w:szCs w:val="21"/>
              </w:rPr>
              <w:t>千金</w:t>
            </w:r>
          </w:p>
        </w:tc>
        <w:tc>
          <w:tcPr>
            <w:tcW w:w="1729" w:type="dxa"/>
            <w:vAlign w:val="center"/>
          </w:tcPr>
          <w:p w:rsidR="00C30A6B" w:rsidRDefault="00C30A6B">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返青至拔节期</w:t>
            </w:r>
          </w:p>
        </w:tc>
        <w:tc>
          <w:tcPr>
            <w:tcW w:w="2738" w:type="dxa"/>
            <w:vAlign w:val="center"/>
          </w:tcPr>
          <w:p w:rsidR="00C30A6B" w:rsidRDefault="00C30A6B" w:rsidP="00024D5B">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2.5%五氟磺草胺油悬浮剂</w:t>
            </w:r>
          </w:p>
        </w:tc>
        <w:tc>
          <w:tcPr>
            <w:tcW w:w="1646" w:type="dxa"/>
            <w:vAlign w:val="center"/>
          </w:tcPr>
          <w:p w:rsidR="00C30A6B" w:rsidRDefault="00C30A6B" w:rsidP="00F954BC">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6</w:t>
            </w:r>
            <w:r>
              <w:rPr>
                <w:rFonts w:asciiTheme="minorEastAsia" w:hAnsiTheme="minorEastAsia"/>
                <w:color w:val="000000"/>
                <w:kern w:val="0"/>
                <w:szCs w:val="21"/>
              </w:rPr>
              <w:t>0ml</w:t>
            </w:r>
            <w:r>
              <w:rPr>
                <w:rFonts w:asciiTheme="minorEastAsia" w:hAnsiTheme="minorEastAsia" w:hint="eastAsia"/>
                <w:color w:val="000000"/>
                <w:kern w:val="0"/>
                <w:szCs w:val="21"/>
              </w:rPr>
              <w:t>～8</w:t>
            </w:r>
            <w:r>
              <w:rPr>
                <w:rFonts w:asciiTheme="minorEastAsia" w:hAnsiTheme="minorEastAsia"/>
                <w:color w:val="000000"/>
                <w:kern w:val="0"/>
                <w:szCs w:val="21"/>
              </w:rPr>
              <w:t>0ml</w:t>
            </w:r>
          </w:p>
        </w:tc>
        <w:tc>
          <w:tcPr>
            <w:tcW w:w="1092" w:type="dxa"/>
            <w:vAlign w:val="center"/>
          </w:tcPr>
          <w:p w:rsidR="00C30A6B" w:rsidRDefault="00C30A6B" w:rsidP="00024D5B">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C30A6B" w:rsidRDefault="00C30A6B">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w:t>
            </w:r>
          </w:p>
        </w:tc>
      </w:tr>
      <w:tr w:rsidR="00B64179">
        <w:trPr>
          <w:trHeight w:val="454"/>
          <w:jc w:val="center"/>
        </w:trPr>
        <w:tc>
          <w:tcPr>
            <w:tcW w:w="116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一年生杂草</w:t>
            </w:r>
          </w:p>
        </w:tc>
        <w:tc>
          <w:tcPr>
            <w:tcW w:w="1729"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杂草</w:t>
            </w:r>
            <w:r>
              <w:rPr>
                <w:rFonts w:asciiTheme="minorEastAsia" w:hAnsiTheme="minorEastAsia"/>
                <w:color w:val="000000"/>
                <w:kern w:val="0"/>
                <w:szCs w:val="21"/>
              </w:rPr>
              <w:t>1-4</w:t>
            </w:r>
            <w:r>
              <w:rPr>
                <w:rFonts w:asciiTheme="minorEastAsia" w:hAnsiTheme="minorEastAsia" w:hint="eastAsia"/>
                <w:color w:val="000000"/>
                <w:kern w:val="0"/>
                <w:szCs w:val="21"/>
              </w:rPr>
              <w:t>叶期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10%</w:t>
            </w:r>
            <w:r>
              <w:rPr>
                <w:rFonts w:asciiTheme="minorEastAsia" w:hAnsiTheme="minorEastAsia" w:hint="eastAsia"/>
                <w:color w:val="000000"/>
                <w:kern w:val="0"/>
                <w:szCs w:val="21"/>
              </w:rPr>
              <w:t>氰氟草酯水乳油</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50ml</w:t>
            </w:r>
            <w:r>
              <w:rPr>
                <w:rFonts w:asciiTheme="minorEastAsia" w:hAnsiTheme="minorEastAsia" w:hint="eastAsia"/>
                <w:color w:val="000000"/>
                <w:kern w:val="0"/>
                <w:szCs w:val="21"/>
              </w:rPr>
              <w:t>～</w:t>
            </w:r>
            <w:r>
              <w:rPr>
                <w:rFonts w:asciiTheme="minorEastAsia" w:hAnsiTheme="minorEastAsia"/>
                <w:color w:val="000000"/>
                <w:kern w:val="0"/>
                <w:szCs w:val="21"/>
              </w:rPr>
              <w:t>70ml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w:t>
            </w:r>
          </w:p>
        </w:tc>
      </w:tr>
      <w:tr w:rsidR="00B64179">
        <w:trPr>
          <w:trHeight w:val="454"/>
          <w:jc w:val="center"/>
        </w:trPr>
        <w:tc>
          <w:tcPr>
            <w:tcW w:w="116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阔叶杂草及莎草科杂草</w:t>
            </w:r>
          </w:p>
        </w:tc>
        <w:tc>
          <w:tcPr>
            <w:tcW w:w="1729"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水稻</w:t>
            </w:r>
            <w:r>
              <w:rPr>
                <w:rFonts w:asciiTheme="minorEastAsia" w:hAnsiTheme="minorEastAsia"/>
                <w:color w:val="000000"/>
                <w:kern w:val="0"/>
                <w:szCs w:val="21"/>
              </w:rPr>
              <w:t>5</w:t>
            </w:r>
            <w:r>
              <w:rPr>
                <w:rFonts w:asciiTheme="minorEastAsia" w:hAnsiTheme="minorEastAsia" w:hint="eastAsia"/>
                <w:color w:val="000000"/>
                <w:kern w:val="0"/>
                <w:szCs w:val="21"/>
              </w:rPr>
              <w:t>～</w:t>
            </w:r>
            <w:r>
              <w:rPr>
                <w:rFonts w:asciiTheme="minorEastAsia" w:hAnsiTheme="minorEastAsia"/>
                <w:color w:val="000000"/>
                <w:kern w:val="0"/>
                <w:szCs w:val="21"/>
              </w:rPr>
              <w:t>8</w:t>
            </w:r>
            <w:r>
              <w:rPr>
                <w:rFonts w:asciiTheme="minorEastAsia" w:hAnsiTheme="minorEastAsia" w:hint="eastAsia"/>
                <w:color w:val="000000"/>
                <w:kern w:val="0"/>
                <w:szCs w:val="21"/>
              </w:rPr>
              <w:t>叶期</w:t>
            </w:r>
          </w:p>
        </w:tc>
        <w:tc>
          <w:tcPr>
            <w:tcW w:w="2738"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480</w:t>
            </w:r>
            <w:r>
              <w:rPr>
                <w:rFonts w:asciiTheme="minorEastAsia" w:hAnsiTheme="minorEastAsia" w:hint="eastAsia"/>
                <w:color w:val="000000"/>
                <w:kern w:val="0"/>
                <w:szCs w:val="21"/>
              </w:rPr>
              <w:t>g/L灭草松水剂</w:t>
            </w:r>
          </w:p>
        </w:tc>
        <w:tc>
          <w:tcPr>
            <w:tcW w:w="1646"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160ml</w:t>
            </w:r>
            <w:r>
              <w:rPr>
                <w:rFonts w:asciiTheme="minorEastAsia" w:hAnsiTheme="minorEastAsia" w:hint="eastAsia"/>
                <w:color w:val="000000"/>
                <w:kern w:val="0"/>
                <w:szCs w:val="21"/>
              </w:rPr>
              <w:t>～</w:t>
            </w:r>
            <w:r>
              <w:rPr>
                <w:rFonts w:asciiTheme="minorEastAsia" w:hAnsiTheme="minorEastAsia"/>
                <w:color w:val="000000"/>
                <w:kern w:val="0"/>
                <w:szCs w:val="21"/>
              </w:rPr>
              <w:t>200ml</w:t>
            </w:r>
          </w:p>
        </w:tc>
        <w:tc>
          <w:tcPr>
            <w:tcW w:w="1092"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B64179" w:rsidRDefault="00B64179">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w:t>
            </w:r>
          </w:p>
        </w:tc>
      </w:tr>
      <w:tr w:rsidR="00B64179">
        <w:trPr>
          <w:trHeight w:val="454"/>
          <w:jc w:val="center"/>
        </w:trPr>
        <w:tc>
          <w:tcPr>
            <w:tcW w:w="9677" w:type="dxa"/>
            <w:gridSpan w:val="6"/>
            <w:vAlign w:val="center"/>
          </w:tcPr>
          <w:p w:rsidR="00B64179" w:rsidRDefault="00B64179">
            <w:pPr>
              <w:widowControl/>
              <w:adjustRightInd w:val="0"/>
              <w:snapToGrid w:val="0"/>
              <w:rPr>
                <w:rFonts w:asciiTheme="minorEastAsia" w:hAnsiTheme="minorEastAsia"/>
                <w:color w:val="000000"/>
                <w:kern w:val="0"/>
                <w:szCs w:val="21"/>
              </w:rPr>
            </w:pPr>
            <w:r>
              <w:rPr>
                <w:rFonts w:asciiTheme="minorEastAsia" w:hAnsiTheme="minorEastAsia" w:hint="eastAsia"/>
                <w:color w:val="000000"/>
                <w:kern w:val="0"/>
                <w:szCs w:val="21"/>
              </w:rPr>
              <w:t>注：农药使用应以最新版本NY/T</w:t>
            </w:r>
            <w:r w:rsidR="00F954BC">
              <w:rPr>
                <w:rFonts w:asciiTheme="minorEastAsia" w:hAnsiTheme="minorEastAsia" w:hint="eastAsia"/>
                <w:color w:val="000000"/>
                <w:kern w:val="0"/>
                <w:szCs w:val="21"/>
              </w:rPr>
              <w:t xml:space="preserve"> </w:t>
            </w:r>
            <w:r>
              <w:rPr>
                <w:rFonts w:asciiTheme="minorEastAsia" w:hAnsiTheme="minorEastAsia" w:hint="eastAsia"/>
                <w:color w:val="000000"/>
                <w:kern w:val="0"/>
                <w:szCs w:val="21"/>
              </w:rPr>
              <w:t>393的规定为准。</w:t>
            </w:r>
          </w:p>
        </w:tc>
      </w:tr>
    </w:tbl>
    <w:p w:rsidR="00291117" w:rsidRDefault="00291117">
      <w:pPr>
        <w:spacing w:line="400" w:lineRule="atLeast"/>
        <w:ind w:firstLineChars="200" w:firstLine="420"/>
        <w:contextualSpacing/>
        <w:rPr>
          <w:rFonts w:ascii="宋体" w:hAnsi="宋体" w:cs="宋体"/>
          <w:color w:val="FF0000"/>
          <w:szCs w:val="21"/>
        </w:rPr>
      </w:pPr>
    </w:p>
    <w:p w:rsidR="00F954BC" w:rsidRDefault="00F954BC" w:rsidP="003A363A">
      <w:pPr>
        <w:spacing w:line="400" w:lineRule="atLeast"/>
        <w:ind w:firstLineChars="200" w:firstLine="420"/>
        <w:contextualSpacing/>
        <w:jc w:val="center"/>
        <w:rPr>
          <w:rFonts w:ascii="宋体" w:hAnsi="宋体" w:cs="宋体"/>
          <w:color w:val="FF0000"/>
          <w:szCs w:val="21"/>
        </w:rPr>
      </w:pPr>
    </w:p>
    <w:sectPr w:rsidR="00F954BC" w:rsidSect="002911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757" w:rsidRDefault="00EB4757" w:rsidP="00F452D6">
      <w:r>
        <w:separator/>
      </w:r>
    </w:p>
  </w:endnote>
  <w:endnote w:type="continuationSeparator" w:id="1">
    <w:p w:rsidR="00EB4757" w:rsidRDefault="00EB4757" w:rsidP="00F452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757" w:rsidRDefault="00EB4757" w:rsidP="00F452D6">
      <w:r>
        <w:separator/>
      </w:r>
    </w:p>
  </w:footnote>
  <w:footnote w:type="continuationSeparator" w:id="1">
    <w:p w:rsidR="00EB4757" w:rsidRDefault="00EB4757" w:rsidP="00F452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001BD"/>
    <w:rsid w:val="00006BF7"/>
    <w:rsid w:val="000078BA"/>
    <w:rsid w:val="00010D47"/>
    <w:rsid w:val="00011672"/>
    <w:rsid w:val="00032981"/>
    <w:rsid w:val="00041193"/>
    <w:rsid w:val="00047F36"/>
    <w:rsid w:val="00052D53"/>
    <w:rsid w:val="000646AF"/>
    <w:rsid w:val="000800AB"/>
    <w:rsid w:val="00092883"/>
    <w:rsid w:val="000945C0"/>
    <w:rsid w:val="000A289D"/>
    <w:rsid w:val="000A3209"/>
    <w:rsid w:val="000B7837"/>
    <w:rsid w:val="000C56BB"/>
    <w:rsid w:val="000D6298"/>
    <w:rsid w:val="000D718D"/>
    <w:rsid w:val="000F0399"/>
    <w:rsid w:val="001000D3"/>
    <w:rsid w:val="00101686"/>
    <w:rsid w:val="00102BAF"/>
    <w:rsid w:val="001214BA"/>
    <w:rsid w:val="00131E86"/>
    <w:rsid w:val="0013347B"/>
    <w:rsid w:val="001365A8"/>
    <w:rsid w:val="0014157B"/>
    <w:rsid w:val="00155F56"/>
    <w:rsid w:val="00164365"/>
    <w:rsid w:val="001653C0"/>
    <w:rsid w:val="00166DC5"/>
    <w:rsid w:val="00173CA5"/>
    <w:rsid w:val="00186870"/>
    <w:rsid w:val="00196F6A"/>
    <w:rsid w:val="001A22E7"/>
    <w:rsid w:val="001A4FDC"/>
    <w:rsid w:val="001A58C6"/>
    <w:rsid w:val="001A6879"/>
    <w:rsid w:val="001C7D6C"/>
    <w:rsid w:val="001D014F"/>
    <w:rsid w:val="001D1D92"/>
    <w:rsid w:val="001D33B6"/>
    <w:rsid w:val="001D426D"/>
    <w:rsid w:val="001D5480"/>
    <w:rsid w:val="001E1AE2"/>
    <w:rsid w:val="001E5770"/>
    <w:rsid w:val="001F1D21"/>
    <w:rsid w:val="002122A5"/>
    <w:rsid w:val="00212407"/>
    <w:rsid w:val="00230059"/>
    <w:rsid w:val="00246596"/>
    <w:rsid w:val="00247714"/>
    <w:rsid w:val="002511B6"/>
    <w:rsid w:val="002542E5"/>
    <w:rsid w:val="00256B35"/>
    <w:rsid w:val="002600A7"/>
    <w:rsid w:val="00264C75"/>
    <w:rsid w:val="00270D76"/>
    <w:rsid w:val="00273CF5"/>
    <w:rsid w:val="0028190C"/>
    <w:rsid w:val="00285292"/>
    <w:rsid w:val="00290EE1"/>
    <w:rsid w:val="00291117"/>
    <w:rsid w:val="002A6F99"/>
    <w:rsid w:val="002A7110"/>
    <w:rsid w:val="002B00D6"/>
    <w:rsid w:val="002B1D56"/>
    <w:rsid w:val="002C0786"/>
    <w:rsid w:val="002C27C4"/>
    <w:rsid w:val="002F3DBC"/>
    <w:rsid w:val="003122BD"/>
    <w:rsid w:val="00314324"/>
    <w:rsid w:val="00332CED"/>
    <w:rsid w:val="003415A1"/>
    <w:rsid w:val="00341611"/>
    <w:rsid w:val="00343081"/>
    <w:rsid w:val="003568E3"/>
    <w:rsid w:val="00367D81"/>
    <w:rsid w:val="00370CF1"/>
    <w:rsid w:val="00371389"/>
    <w:rsid w:val="00372005"/>
    <w:rsid w:val="0038067B"/>
    <w:rsid w:val="00380E97"/>
    <w:rsid w:val="00384CF3"/>
    <w:rsid w:val="003A363A"/>
    <w:rsid w:val="003B1771"/>
    <w:rsid w:val="003B5258"/>
    <w:rsid w:val="003C0885"/>
    <w:rsid w:val="003C679C"/>
    <w:rsid w:val="003E6EC0"/>
    <w:rsid w:val="003F5A29"/>
    <w:rsid w:val="00417A29"/>
    <w:rsid w:val="004218FF"/>
    <w:rsid w:val="004228D4"/>
    <w:rsid w:val="00422A39"/>
    <w:rsid w:val="004249F2"/>
    <w:rsid w:val="00432245"/>
    <w:rsid w:val="00434739"/>
    <w:rsid w:val="00451D32"/>
    <w:rsid w:val="00454821"/>
    <w:rsid w:val="00455D2C"/>
    <w:rsid w:val="004565C7"/>
    <w:rsid w:val="00457CF8"/>
    <w:rsid w:val="00461384"/>
    <w:rsid w:val="00467786"/>
    <w:rsid w:val="00467AFE"/>
    <w:rsid w:val="0049582D"/>
    <w:rsid w:val="00497A20"/>
    <w:rsid w:val="004A057E"/>
    <w:rsid w:val="004B35FC"/>
    <w:rsid w:val="004B3D22"/>
    <w:rsid w:val="004D24FE"/>
    <w:rsid w:val="004D79FC"/>
    <w:rsid w:val="004E6B0C"/>
    <w:rsid w:val="004F0096"/>
    <w:rsid w:val="004F52B8"/>
    <w:rsid w:val="004F748B"/>
    <w:rsid w:val="005021CF"/>
    <w:rsid w:val="0050591C"/>
    <w:rsid w:val="005132CE"/>
    <w:rsid w:val="0051610C"/>
    <w:rsid w:val="005308F9"/>
    <w:rsid w:val="0054418F"/>
    <w:rsid w:val="00567796"/>
    <w:rsid w:val="0057375F"/>
    <w:rsid w:val="005762C1"/>
    <w:rsid w:val="005829FD"/>
    <w:rsid w:val="00585AE6"/>
    <w:rsid w:val="00596CA0"/>
    <w:rsid w:val="005974F1"/>
    <w:rsid w:val="00597D97"/>
    <w:rsid w:val="005A1D3B"/>
    <w:rsid w:val="005C46BA"/>
    <w:rsid w:val="005E3C8C"/>
    <w:rsid w:val="005F0760"/>
    <w:rsid w:val="005F31F4"/>
    <w:rsid w:val="005F4A93"/>
    <w:rsid w:val="00604633"/>
    <w:rsid w:val="0061200B"/>
    <w:rsid w:val="00615256"/>
    <w:rsid w:val="006158DB"/>
    <w:rsid w:val="0062721A"/>
    <w:rsid w:val="00630E82"/>
    <w:rsid w:val="00631D20"/>
    <w:rsid w:val="006325EF"/>
    <w:rsid w:val="00633083"/>
    <w:rsid w:val="006345B2"/>
    <w:rsid w:val="006435A3"/>
    <w:rsid w:val="006504A2"/>
    <w:rsid w:val="00651C91"/>
    <w:rsid w:val="00662C3A"/>
    <w:rsid w:val="006718A0"/>
    <w:rsid w:val="00677F2F"/>
    <w:rsid w:val="00681E34"/>
    <w:rsid w:val="006869AD"/>
    <w:rsid w:val="006954D0"/>
    <w:rsid w:val="006963A3"/>
    <w:rsid w:val="006978E7"/>
    <w:rsid w:val="006A2525"/>
    <w:rsid w:val="006A63B2"/>
    <w:rsid w:val="006B17F4"/>
    <w:rsid w:val="006B3912"/>
    <w:rsid w:val="006C2BEB"/>
    <w:rsid w:val="006D093D"/>
    <w:rsid w:val="006D2F11"/>
    <w:rsid w:val="006D35E2"/>
    <w:rsid w:val="006D53FC"/>
    <w:rsid w:val="00700193"/>
    <w:rsid w:val="00700FC0"/>
    <w:rsid w:val="007037AB"/>
    <w:rsid w:val="00721C7B"/>
    <w:rsid w:val="00724B8E"/>
    <w:rsid w:val="00725696"/>
    <w:rsid w:val="00731484"/>
    <w:rsid w:val="00732332"/>
    <w:rsid w:val="0074299C"/>
    <w:rsid w:val="00752654"/>
    <w:rsid w:val="00756683"/>
    <w:rsid w:val="00756D94"/>
    <w:rsid w:val="00770900"/>
    <w:rsid w:val="00776796"/>
    <w:rsid w:val="00785411"/>
    <w:rsid w:val="0079482C"/>
    <w:rsid w:val="0079592B"/>
    <w:rsid w:val="007A73F2"/>
    <w:rsid w:val="007F1CFD"/>
    <w:rsid w:val="008110D4"/>
    <w:rsid w:val="00821B7A"/>
    <w:rsid w:val="0082296A"/>
    <w:rsid w:val="008357D8"/>
    <w:rsid w:val="0084288F"/>
    <w:rsid w:val="00843828"/>
    <w:rsid w:val="008471DA"/>
    <w:rsid w:val="00847ECE"/>
    <w:rsid w:val="008521D4"/>
    <w:rsid w:val="0087766A"/>
    <w:rsid w:val="008854AF"/>
    <w:rsid w:val="0089187A"/>
    <w:rsid w:val="008958B0"/>
    <w:rsid w:val="008A013F"/>
    <w:rsid w:val="008A668F"/>
    <w:rsid w:val="008B21C1"/>
    <w:rsid w:val="008B2DA4"/>
    <w:rsid w:val="008B34CC"/>
    <w:rsid w:val="008B39FC"/>
    <w:rsid w:val="008B6C11"/>
    <w:rsid w:val="008C1DFE"/>
    <w:rsid w:val="008C39FC"/>
    <w:rsid w:val="008C50AE"/>
    <w:rsid w:val="008D15CE"/>
    <w:rsid w:val="008D461B"/>
    <w:rsid w:val="008F50EB"/>
    <w:rsid w:val="00913274"/>
    <w:rsid w:val="009215EF"/>
    <w:rsid w:val="00922387"/>
    <w:rsid w:val="00925357"/>
    <w:rsid w:val="009333A5"/>
    <w:rsid w:val="00936FEA"/>
    <w:rsid w:val="00937E7B"/>
    <w:rsid w:val="009427F5"/>
    <w:rsid w:val="00954D99"/>
    <w:rsid w:val="0095593F"/>
    <w:rsid w:val="00977AF4"/>
    <w:rsid w:val="0098198E"/>
    <w:rsid w:val="00990D76"/>
    <w:rsid w:val="00992705"/>
    <w:rsid w:val="00995D0A"/>
    <w:rsid w:val="009B07A8"/>
    <w:rsid w:val="009C0A33"/>
    <w:rsid w:val="009C33BA"/>
    <w:rsid w:val="009C537C"/>
    <w:rsid w:val="009C6010"/>
    <w:rsid w:val="009D3D54"/>
    <w:rsid w:val="009D7E39"/>
    <w:rsid w:val="00A0161D"/>
    <w:rsid w:val="00A1773A"/>
    <w:rsid w:val="00A179FE"/>
    <w:rsid w:val="00A17F74"/>
    <w:rsid w:val="00A34658"/>
    <w:rsid w:val="00A36CF9"/>
    <w:rsid w:val="00A43012"/>
    <w:rsid w:val="00A548BA"/>
    <w:rsid w:val="00A62629"/>
    <w:rsid w:val="00A70687"/>
    <w:rsid w:val="00A72E9D"/>
    <w:rsid w:val="00A72EF2"/>
    <w:rsid w:val="00A87D29"/>
    <w:rsid w:val="00AA59FD"/>
    <w:rsid w:val="00AB4F20"/>
    <w:rsid w:val="00AB5C59"/>
    <w:rsid w:val="00AC5C18"/>
    <w:rsid w:val="00AD0800"/>
    <w:rsid w:val="00AE2894"/>
    <w:rsid w:val="00AE5AD4"/>
    <w:rsid w:val="00AF13E4"/>
    <w:rsid w:val="00AF2FED"/>
    <w:rsid w:val="00AF316F"/>
    <w:rsid w:val="00AF6722"/>
    <w:rsid w:val="00B2366C"/>
    <w:rsid w:val="00B26E64"/>
    <w:rsid w:val="00B27A06"/>
    <w:rsid w:val="00B34DAD"/>
    <w:rsid w:val="00B46084"/>
    <w:rsid w:val="00B61622"/>
    <w:rsid w:val="00B64179"/>
    <w:rsid w:val="00B83AD8"/>
    <w:rsid w:val="00BA4560"/>
    <w:rsid w:val="00BB0117"/>
    <w:rsid w:val="00BB0EBC"/>
    <w:rsid w:val="00BD05CD"/>
    <w:rsid w:val="00BE7988"/>
    <w:rsid w:val="00BF1A85"/>
    <w:rsid w:val="00C024D2"/>
    <w:rsid w:val="00C0406D"/>
    <w:rsid w:val="00C07BEB"/>
    <w:rsid w:val="00C15089"/>
    <w:rsid w:val="00C30A6B"/>
    <w:rsid w:val="00C3379C"/>
    <w:rsid w:val="00C34BBE"/>
    <w:rsid w:val="00C36F60"/>
    <w:rsid w:val="00C41D4E"/>
    <w:rsid w:val="00C47949"/>
    <w:rsid w:val="00C51050"/>
    <w:rsid w:val="00CA0B5E"/>
    <w:rsid w:val="00CB1B6C"/>
    <w:rsid w:val="00CC33C2"/>
    <w:rsid w:val="00CD1005"/>
    <w:rsid w:val="00CD4220"/>
    <w:rsid w:val="00CE0E58"/>
    <w:rsid w:val="00CE1578"/>
    <w:rsid w:val="00CE2EA6"/>
    <w:rsid w:val="00CE7AAF"/>
    <w:rsid w:val="00D16213"/>
    <w:rsid w:val="00D210EA"/>
    <w:rsid w:val="00D2478B"/>
    <w:rsid w:val="00D51A66"/>
    <w:rsid w:val="00D57565"/>
    <w:rsid w:val="00D64BBE"/>
    <w:rsid w:val="00D727F8"/>
    <w:rsid w:val="00D87C01"/>
    <w:rsid w:val="00D9406B"/>
    <w:rsid w:val="00D959F7"/>
    <w:rsid w:val="00DA58CB"/>
    <w:rsid w:val="00DB5F95"/>
    <w:rsid w:val="00DB794E"/>
    <w:rsid w:val="00DD1F31"/>
    <w:rsid w:val="00DD5E9D"/>
    <w:rsid w:val="00E02970"/>
    <w:rsid w:val="00E05E44"/>
    <w:rsid w:val="00E27C9B"/>
    <w:rsid w:val="00E356A7"/>
    <w:rsid w:val="00E3661A"/>
    <w:rsid w:val="00E42D45"/>
    <w:rsid w:val="00E562E0"/>
    <w:rsid w:val="00E569E7"/>
    <w:rsid w:val="00E672ED"/>
    <w:rsid w:val="00E731FD"/>
    <w:rsid w:val="00E85024"/>
    <w:rsid w:val="00E87BCB"/>
    <w:rsid w:val="00E95168"/>
    <w:rsid w:val="00E973CF"/>
    <w:rsid w:val="00EA5940"/>
    <w:rsid w:val="00EB2D87"/>
    <w:rsid w:val="00EB4757"/>
    <w:rsid w:val="00EB779F"/>
    <w:rsid w:val="00EC46E3"/>
    <w:rsid w:val="00EE1B22"/>
    <w:rsid w:val="00EE25C9"/>
    <w:rsid w:val="00EE2986"/>
    <w:rsid w:val="00EE3B88"/>
    <w:rsid w:val="00EE3EDC"/>
    <w:rsid w:val="00EE3F9C"/>
    <w:rsid w:val="00EE64E9"/>
    <w:rsid w:val="00EF0B80"/>
    <w:rsid w:val="00EF27F1"/>
    <w:rsid w:val="00EF44DE"/>
    <w:rsid w:val="00F003C5"/>
    <w:rsid w:val="00F02E60"/>
    <w:rsid w:val="00F14D42"/>
    <w:rsid w:val="00F2162C"/>
    <w:rsid w:val="00F452D6"/>
    <w:rsid w:val="00F47B0A"/>
    <w:rsid w:val="00F51294"/>
    <w:rsid w:val="00F53EA0"/>
    <w:rsid w:val="00F573FA"/>
    <w:rsid w:val="00F621BF"/>
    <w:rsid w:val="00F64C62"/>
    <w:rsid w:val="00F65F92"/>
    <w:rsid w:val="00F70DD0"/>
    <w:rsid w:val="00F824E5"/>
    <w:rsid w:val="00F836D7"/>
    <w:rsid w:val="00F838E9"/>
    <w:rsid w:val="00F85498"/>
    <w:rsid w:val="00F86904"/>
    <w:rsid w:val="00F954BC"/>
    <w:rsid w:val="00F96F67"/>
    <w:rsid w:val="00FA04C5"/>
    <w:rsid w:val="00FB2B83"/>
    <w:rsid w:val="00FC07CD"/>
    <w:rsid w:val="00FC62CA"/>
    <w:rsid w:val="00FD10B3"/>
    <w:rsid w:val="00FD414B"/>
    <w:rsid w:val="00FD46BF"/>
    <w:rsid w:val="00FE22E1"/>
    <w:rsid w:val="608856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fillcolor="white">
      <v:fill color="white"/>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11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91117"/>
    <w:pPr>
      <w:ind w:leftChars="2500" w:left="100"/>
    </w:pPr>
  </w:style>
  <w:style w:type="paragraph" w:styleId="2">
    <w:name w:val="Body Text Indent 2"/>
    <w:basedOn w:val="a"/>
    <w:link w:val="2Char"/>
    <w:rsid w:val="00291117"/>
    <w:pPr>
      <w:spacing w:line="288" w:lineRule="auto"/>
      <w:ind w:firstLine="435"/>
    </w:pPr>
    <w:rPr>
      <w:rFonts w:ascii="Times New Roman" w:eastAsia="宋体" w:hAnsi="Times New Roman" w:cs="Times New Roman"/>
      <w:szCs w:val="21"/>
    </w:rPr>
  </w:style>
  <w:style w:type="paragraph" w:styleId="a4">
    <w:name w:val="Balloon Text"/>
    <w:basedOn w:val="a"/>
    <w:link w:val="Char0"/>
    <w:uiPriority w:val="99"/>
    <w:semiHidden/>
    <w:unhideWhenUsed/>
    <w:rsid w:val="00291117"/>
    <w:rPr>
      <w:sz w:val="18"/>
      <w:szCs w:val="18"/>
    </w:rPr>
  </w:style>
  <w:style w:type="paragraph" w:styleId="a5">
    <w:name w:val="footer"/>
    <w:basedOn w:val="a"/>
    <w:link w:val="Char1"/>
    <w:uiPriority w:val="99"/>
    <w:semiHidden/>
    <w:unhideWhenUsed/>
    <w:qFormat/>
    <w:rsid w:val="00291117"/>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291117"/>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sid w:val="00291117"/>
    <w:rPr>
      <w:color w:val="0000FF" w:themeColor="hyperlink"/>
      <w:u w:val="single"/>
    </w:rPr>
  </w:style>
  <w:style w:type="paragraph" w:customStyle="1" w:styleId="1">
    <w:name w:val="列出段落1"/>
    <w:basedOn w:val="a"/>
    <w:uiPriority w:val="99"/>
    <w:qFormat/>
    <w:rsid w:val="00291117"/>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rsid w:val="00291117"/>
    <w:rPr>
      <w:rFonts w:ascii="Times New Roman" w:eastAsia="宋体" w:hAnsi="Times New Roman" w:cs="Times New Roman"/>
      <w:szCs w:val="21"/>
    </w:rPr>
  </w:style>
  <w:style w:type="paragraph" w:styleId="a8">
    <w:name w:val="List Paragraph"/>
    <w:basedOn w:val="a"/>
    <w:uiPriority w:val="34"/>
    <w:qFormat/>
    <w:rsid w:val="00291117"/>
    <w:pPr>
      <w:ind w:firstLineChars="200" w:firstLine="420"/>
    </w:pPr>
  </w:style>
  <w:style w:type="character" w:customStyle="1" w:styleId="Char2">
    <w:name w:val="页眉 Char"/>
    <w:basedOn w:val="a0"/>
    <w:link w:val="a6"/>
    <w:uiPriority w:val="99"/>
    <w:semiHidden/>
    <w:rsid w:val="00291117"/>
    <w:rPr>
      <w:sz w:val="18"/>
      <w:szCs w:val="18"/>
    </w:rPr>
  </w:style>
  <w:style w:type="character" w:customStyle="1" w:styleId="Char1">
    <w:name w:val="页脚 Char"/>
    <w:basedOn w:val="a0"/>
    <w:link w:val="a5"/>
    <w:uiPriority w:val="99"/>
    <w:semiHidden/>
    <w:rsid w:val="00291117"/>
    <w:rPr>
      <w:sz w:val="18"/>
      <w:szCs w:val="18"/>
    </w:rPr>
  </w:style>
  <w:style w:type="character" w:customStyle="1" w:styleId="Char0">
    <w:name w:val="批注框文本 Char"/>
    <w:basedOn w:val="a0"/>
    <w:link w:val="a4"/>
    <w:uiPriority w:val="99"/>
    <w:semiHidden/>
    <w:rsid w:val="00291117"/>
    <w:rPr>
      <w:sz w:val="18"/>
      <w:szCs w:val="18"/>
    </w:rPr>
  </w:style>
  <w:style w:type="character" w:customStyle="1" w:styleId="Char">
    <w:name w:val="日期 Char"/>
    <w:basedOn w:val="a0"/>
    <w:link w:val="a3"/>
    <w:uiPriority w:val="99"/>
    <w:semiHidden/>
    <w:rsid w:val="00291117"/>
  </w:style>
  <w:style w:type="paragraph" w:customStyle="1" w:styleId="a9">
    <w:name w:val="附录标识"/>
    <w:basedOn w:val="a"/>
    <w:next w:val="a"/>
    <w:qFormat/>
    <w:rsid w:val="00291117"/>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divs>
    <w:div w:id="1884781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823</Words>
  <Characters>4696</Characters>
  <Application>Microsoft Office Word</Application>
  <DocSecurity>0</DocSecurity>
  <Lines>39</Lines>
  <Paragraphs>11</Paragraphs>
  <ScaleCrop>false</ScaleCrop>
  <Company>MS</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19</cp:revision>
  <cp:lastPrinted>2019-11-14T13:11:00Z</cp:lastPrinted>
  <dcterms:created xsi:type="dcterms:W3CDTF">2020-09-30T03:59:00Z</dcterms:created>
  <dcterms:modified xsi:type="dcterms:W3CDTF">2020-11-05T02:48:00Z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