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  <w:bookmarkStart w:id="0" w:name="_Toc16224"/>
      <w:bookmarkStart w:id="1" w:name="_Toc10663"/>
      <w:bookmarkStart w:id="2" w:name="_Toc10120"/>
      <w:bookmarkStart w:id="3" w:name="_Toc14656"/>
      <w:bookmarkStart w:id="4" w:name="_Toc21452"/>
      <w:bookmarkStart w:id="5" w:name="_Toc27017"/>
    </w:p>
    <w:p w:rsidR="00BC7464" w:rsidRDefault="006F561F" w:rsidP="00496B26">
      <w:pPr>
        <w:pStyle w:val="12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cs="宋体" w:hint="eastAsia"/>
          <w:sz w:val="52"/>
          <w:szCs w:val="52"/>
        </w:rPr>
        <w:t>绿色食品生产操作规程</w:t>
      </w:r>
    </w:p>
    <w:p w:rsidR="00BC7464" w:rsidRDefault="006F561F" w:rsidP="00496B26">
      <w:pPr>
        <w:pStyle w:val="12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 016-2018</w:t>
      </w:r>
    </w:p>
    <w:p w:rsidR="00BC7464" w:rsidRDefault="005C155F" w:rsidP="00496B26">
      <w:pPr>
        <w:pStyle w:val="12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2" o:spid="_x0000_s1026" type="#_x0000_t32" style="position:absolute;left:0;text-align:left;margin-left:12.6pt;margin-top:6pt;width:407.4pt;height:.05pt;z-index:1" o:preferrelative="t" filled="t">
            <v:stroke miterlimit="2"/>
          </v:shape>
        </w:pict>
      </w: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6F561F" w:rsidP="00496B26">
      <w:pPr>
        <w:pStyle w:val="12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cs="宋体" w:hint="eastAsia"/>
          <w:sz w:val="52"/>
          <w:szCs w:val="52"/>
        </w:rPr>
        <w:t>长江流域</w:t>
      </w:r>
    </w:p>
    <w:p w:rsidR="00BC7464" w:rsidRDefault="006F561F" w:rsidP="00496B26">
      <w:pPr>
        <w:pStyle w:val="12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绿色食品</w:t>
      </w:r>
      <w:r>
        <w:rPr>
          <w:rFonts w:ascii="黑体" w:eastAsia="黑体" w:hAnsi="黑体" w:cs="宋体" w:hint="eastAsia"/>
          <w:sz w:val="52"/>
          <w:szCs w:val="52"/>
        </w:rPr>
        <w:t>夏大豆</w:t>
      </w:r>
      <w:r>
        <w:rPr>
          <w:rFonts w:ascii="黑体" w:eastAsia="黑体" w:hAnsi="黑体" w:hint="eastAsia"/>
          <w:sz w:val="52"/>
          <w:szCs w:val="52"/>
        </w:rPr>
        <w:t>生产操作规程</w:t>
      </w: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6F561F" w:rsidP="00496B26">
      <w:pPr>
        <w:pStyle w:val="12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2018-04-03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                 </w:t>
      </w:r>
      <w:r w:rsidR="00496B26">
        <w:rPr>
          <w:rFonts w:ascii="黑体" w:eastAsia="黑体" w:hAnsi="黑体" w:cs="宋体"/>
          <w:sz w:val="28"/>
          <w:szCs w:val="28"/>
        </w:rPr>
        <w:t>20</w:t>
      </w:r>
      <w:r w:rsidR="00496B26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496B26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 w:rsidR="00496B26">
        <w:rPr>
          <w:rFonts w:ascii="黑体" w:eastAsia="黑体" w:hAnsi="黑体" w:cs="宋体"/>
          <w:sz w:val="28"/>
          <w:szCs w:val="28"/>
        </w:rPr>
        <w:t>0</w:t>
      </w:r>
      <w:r w:rsidR="00496B26">
        <w:rPr>
          <w:rFonts w:ascii="黑体" w:eastAsia="黑体" w:hAnsi="黑体" w:cs="宋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BC7464" w:rsidRDefault="005C155F" w:rsidP="00496B26">
      <w:pPr>
        <w:pStyle w:val="12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直接箭头连接符 3" o:spid="_x0000_s1027" type="#_x0000_t32" style="position:absolute;left:0;text-align:left;margin-left:16.15pt;margin-top:9pt;width:382.2pt;height:1.2pt;z-index:2" o:preferrelative="t" filled="t">
            <v:stroke miterlimit="2"/>
          </v:shape>
        </w:pict>
      </w:r>
    </w:p>
    <w:p w:rsidR="00BC7464" w:rsidRDefault="006F561F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sz w:val="32"/>
          <w:szCs w:val="32"/>
        </w:rPr>
        <w:t>心</w:t>
      </w:r>
      <w:r>
        <w:rPr>
          <w:rFonts w:ascii="华文中宋" w:eastAsia="华文中宋" w:hAnsi="华文中宋" w:cs="宋体" w:hint="eastAsia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bookmarkEnd w:id="0"/>
    <w:bookmarkEnd w:id="1"/>
    <w:bookmarkEnd w:id="2"/>
    <w:bookmarkEnd w:id="3"/>
    <w:bookmarkEnd w:id="4"/>
    <w:bookmarkEnd w:id="5"/>
    <w:p w:rsidR="00BC7464" w:rsidRDefault="00BC7464">
      <w:pPr>
        <w:spacing w:after="0" w:line="240" w:lineRule="auto"/>
        <w:rPr>
          <w:rFonts w:ascii="黑体" w:eastAsia="黑体" w:hAnsi="黑体" w:cs="宋体"/>
          <w:sz w:val="32"/>
          <w:szCs w:val="32"/>
        </w:rPr>
      </w:pPr>
    </w:p>
    <w:p w:rsidR="00BC7464" w:rsidRDefault="00BC7464">
      <w:pPr>
        <w:spacing w:after="0" w:line="240" w:lineRule="auto"/>
        <w:rPr>
          <w:rFonts w:ascii="黑体" w:eastAsia="黑体" w:hAnsi="黑体" w:cs="宋体"/>
          <w:sz w:val="32"/>
          <w:szCs w:val="32"/>
        </w:rPr>
      </w:pPr>
    </w:p>
    <w:p w:rsidR="00BC7464" w:rsidRDefault="006F561F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前 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BC7464" w:rsidRDefault="00BC7464" w:rsidP="00496B26">
      <w:pPr>
        <w:pStyle w:val="12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C7464" w:rsidRDefault="006F561F" w:rsidP="00496B26">
      <w:pPr>
        <w:pStyle w:val="12"/>
        <w:spacing w:beforeLines="50" w:afterLines="50" w:line="400" w:lineRule="atLeast"/>
        <w:contextualSpacing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</w:rPr>
        <w:t>本规程由中国绿色食品发展中心提出并归口。</w:t>
      </w:r>
    </w:p>
    <w:p w:rsidR="00BC7464" w:rsidRDefault="006F561F" w:rsidP="00496B26">
      <w:pPr>
        <w:pStyle w:val="12"/>
        <w:spacing w:beforeLines="50" w:afterLines="50" w:line="400" w:lineRule="atLeast"/>
        <w:contextualSpacing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</w:rPr>
        <w:t>本规程起草单位：湖南省绿色食品办公室、湖南省作物研究所、中国绿色食品发展中心、广东省绿色食品发展中心。</w:t>
      </w:r>
    </w:p>
    <w:p w:rsidR="00BC7464" w:rsidRDefault="006F561F" w:rsidP="00496B26">
      <w:pPr>
        <w:pStyle w:val="12"/>
        <w:spacing w:beforeLines="50" w:afterLines="50" w:line="400" w:lineRule="atLeast"/>
        <w:contextualSpacing/>
        <w:rPr>
          <w:sz w:val="18"/>
        </w:rPr>
        <w:sectPr w:rsidR="00BC7464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  <w:r>
        <w:rPr>
          <w:rFonts w:ascii="宋体" w:hAnsi="宋体" w:cs="宋体" w:hint="eastAsia"/>
          <w:sz w:val="21"/>
        </w:rPr>
        <w:t>本规程主要起草人：刘新桃、马淑梅、张志华、黄山、姚珍运、左雄建、马细兰、李小红、王月胜。</w:t>
      </w:r>
    </w:p>
    <w:p w:rsidR="00BC7464" w:rsidRDefault="006F561F">
      <w:pPr>
        <w:spacing w:after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 xml:space="preserve">长江流域  </w:t>
      </w:r>
    </w:p>
    <w:p w:rsidR="00BC7464" w:rsidRDefault="006F561F">
      <w:pPr>
        <w:spacing w:after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绿色食品夏大豆生产操作规程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6" w:name="_Toc20855"/>
      <w:bookmarkStart w:id="7" w:name="_Toc27573"/>
      <w:bookmarkStart w:id="8" w:name="_Toc20787"/>
      <w:bookmarkStart w:id="9" w:name="_Toc501653594"/>
      <w:r>
        <w:rPr>
          <w:rFonts w:ascii="黑体" w:eastAsia="黑体" w:hint="eastAsia"/>
          <w:sz w:val="21"/>
          <w:szCs w:val="21"/>
        </w:rPr>
        <w:t>1 范围</w:t>
      </w:r>
      <w:bookmarkEnd w:id="6"/>
      <w:bookmarkEnd w:id="7"/>
      <w:bookmarkEnd w:id="8"/>
      <w:bookmarkEnd w:id="9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本规程规定了长江流域绿色食品夏大豆生产的产地环境、品种选择、整地与播种、田间管理、采收、生产废弃物的处理、贮藏及生产档案。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本规程适用于</w:t>
      </w:r>
      <w:r>
        <w:rPr>
          <w:rFonts w:ascii="宋体" w:hAnsi="宋体" w:hint="eastAsia"/>
          <w:color w:val="000000"/>
          <w:sz w:val="21"/>
          <w:szCs w:val="21"/>
        </w:rPr>
        <w:t>江西、湖北、湖南、四川和重庆的</w:t>
      </w:r>
      <w:r>
        <w:rPr>
          <w:rFonts w:ascii="宋体" w:hAnsi="宋体" w:hint="eastAsia"/>
          <w:sz w:val="21"/>
          <w:szCs w:val="21"/>
        </w:rPr>
        <w:t>绿色食品夏大豆生产。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0" w:name="_Toc5928"/>
      <w:bookmarkStart w:id="11" w:name="_Toc23927"/>
      <w:bookmarkStart w:id="12" w:name="_Toc18757"/>
      <w:bookmarkStart w:id="13" w:name="_Toc501653595"/>
      <w:r>
        <w:rPr>
          <w:rFonts w:ascii="黑体" w:eastAsia="黑体" w:hint="eastAsia"/>
          <w:sz w:val="21"/>
          <w:szCs w:val="21"/>
        </w:rPr>
        <w:t>2 规范性引用文件</w:t>
      </w:r>
      <w:bookmarkEnd w:id="10"/>
      <w:bookmarkEnd w:id="11"/>
      <w:bookmarkEnd w:id="12"/>
      <w:bookmarkEnd w:id="13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下列文件对于本文件的应用是必不可少的。凡是注日期的引用文件，仅注日期的版本适用于本文件，凡是不注日期的引用文件，其最新版本（包括所有的修改单）适用于本文件。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GB 4404.2  粮食作物种子第二部分：豆类</w:t>
      </w:r>
    </w:p>
    <w:p w:rsidR="003947CC" w:rsidRDefault="006F561F" w:rsidP="003947CC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GB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 xml:space="preserve">1352  </w:t>
      </w:r>
      <w:r>
        <w:rPr>
          <w:rFonts w:ascii="宋体" w:hAnsi="宋体" w:hint="eastAsia"/>
          <w:sz w:val="21"/>
          <w:szCs w:val="21"/>
        </w:rPr>
        <w:t>大豆</w:t>
      </w:r>
    </w:p>
    <w:p w:rsidR="00BC7464" w:rsidRDefault="003947CC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 285  绿色食品  豆类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391  绿色食品  产地环境质量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 393  绿色食品  农药使用准则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 394  绿色食品  肥料使用准则</w:t>
      </w:r>
    </w:p>
    <w:p w:rsidR="003947CC" w:rsidRDefault="003947CC" w:rsidP="003947CC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 410  根瘤菌肥料</w:t>
      </w:r>
    </w:p>
    <w:p w:rsidR="00BC7464" w:rsidRDefault="003947CC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 411  固氮菌肥料</w:t>
      </w:r>
    </w:p>
    <w:p w:rsidR="003947CC" w:rsidRDefault="003947CC" w:rsidP="003947CC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658  绿色食品  包装通用准则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NY/T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1056  绿色食品  贮藏运输规则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4" w:name="_Toc4871"/>
      <w:bookmarkStart w:id="15" w:name="_Toc8459"/>
      <w:bookmarkStart w:id="16" w:name="_Toc501653596"/>
      <w:bookmarkStart w:id="17" w:name="_Toc30530"/>
      <w:r>
        <w:rPr>
          <w:rFonts w:ascii="黑体" w:eastAsia="黑体" w:hint="eastAsia"/>
          <w:sz w:val="21"/>
          <w:szCs w:val="21"/>
        </w:rPr>
        <w:t>3 产地环境</w:t>
      </w:r>
      <w:bookmarkEnd w:id="14"/>
      <w:bookmarkEnd w:id="15"/>
      <w:bookmarkEnd w:id="16"/>
      <w:bookmarkEnd w:id="1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产地环境质量符</w:t>
      </w:r>
      <w:r>
        <w:rPr>
          <w:rFonts w:ascii="宋体" w:hAnsi="宋体"/>
          <w:sz w:val="21"/>
          <w:szCs w:val="21"/>
        </w:rPr>
        <w:t>NY</w:t>
      </w:r>
      <w:r>
        <w:rPr>
          <w:rFonts w:ascii="宋体" w:hAnsi="宋体" w:hint="eastAsia"/>
          <w:sz w:val="21"/>
          <w:szCs w:val="21"/>
        </w:rPr>
        <w:t>/</w:t>
      </w:r>
      <w:r>
        <w:rPr>
          <w:rFonts w:ascii="宋体" w:hAnsi="宋体"/>
          <w:sz w:val="21"/>
          <w:szCs w:val="21"/>
        </w:rPr>
        <w:t>T 391的</w:t>
      </w:r>
      <w:r>
        <w:rPr>
          <w:rFonts w:ascii="宋体" w:hAnsi="宋体" w:hint="eastAsia"/>
          <w:sz w:val="21"/>
          <w:szCs w:val="21"/>
        </w:rPr>
        <w:t>规定。选择生态环境良好、远离公路铁路干线、</w:t>
      </w:r>
      <w:r>
        <w:rPr>
          <w:rFonts w:ascii="宋体" w:hAnsi="宋体"/>
          <w:sz w:val="21"/>
          <w:szCs w:val="21"/>
        </w:rPr>
        <w:t>土壤</w:t>
      </w:r>
      <w:r>
        <w:rPr>
          <w:rFonts w:ascii="宋体" w:hAnsi="宋体" w:hint="eastAsia"/>
          <w:sz w:val="21"/>
          <w:szCs w:val="21"/>
        </w:rPr>
        <w:t>无污染、</w:t>
      </w:r>
      <w:r>
        <w:rPr>
          <w:rFonts w:ascii="宋体" w:hAnsi="宋体"/>
          <w:sz w:val="21"/>
          <w:szCs w:val="21"/>
        </w:rPr>
        <w:t>田间排灌方便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基地相对集中成片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交通方便</w:t>
      </w:r>
      <w:r>
        <w:rPr>
          <w:rFonts w:ascii="宋体" w:hAnsi="宋体" w:hint="eastAsia"/>
          <w:sz w:val="21"/>
          <w:szCs w:val="21"/>
        </w:rPr>
        <w:t>的地区。</w:t>
      </w:r>
      <w:r>
        <w:rPr>
          <w:rFonts w:ascii="宋体" w:hAnsi="宋体"/>
          <w:sz w:val="21"/>
          <w:szCs w:val="21"/>
        </w:rPr>
        <w:t>在绿色食品和常规生产区域之间设置有效的缓冲带或物理屏障。</w:t>
      </w:r>
      <w:r>
        <w:rPr>
          <w:rFonts w:ascii="宋体" w:hAnsi="宋体" w:hint="eastAsia"/>
          <w:sz w:val="21"/>
          <w:szCs w:val="21"/>
        </w:rPr>
        <w:t>土壤耕层应疏松深厚、土质肥沃、富含有机质、无严重的土传病害、排灌良好的地块。无霜期180天以上，年平均气温10℃以上，年降雨量500mm以上。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8" w:name="_Toc32096"/>
      <w:bookmarkStart w:id="19" w:name="_Toc12854"/>
      <w:bookmarkStart w:id="20" w:name="_Toc12867"/>
      <w:bookmarkStart w:id="21" w:name="_Toc501653600"/>
      <w:r>
        <w:rPr>
          <w:rFonts w:ascii="黑体" w:eastAsia="黑体" w:hint="eastAsia"/>
          <w:sz w:val="21"/>
          <w:szCs w:val="21"/>
        </w:rPr>
        <w:t>4 品种</w:t>
      </w:r>
      <w:bookmarkEnd w:id="18"/>
      <w:bookmarkEnd w:id="19"/>
      <w:bookmarkEnd w:id="20"/>
      <w:r>
        <w:rPr>
          <w:rFonts w:ascii="黑体" w:eastAsia="黑体" w:hint="eastAsia"/>
          <w:sz w:val="21"/>
          <w:szCs w:val="21"/>
        </w:rPr>
        <w:t>选择</w:t>
      </w:r>
      <w:bookmarkEnd w:id="21"/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22" w:name="_Toc20090"/>
      <w:bookmarkStart w:id="23" w:name="_Toc27628"/>
      <w:bookmarkStart w:id="24" w:name="_Toc28406"/>
      <w:bookmarkStart w:id="25" w:name="_Toc501653601"/>
      <w:r>
        <w:rPr>
          <w:rFonts w:ascii="黑体" w:eastAsia="黑体" w:hint="eastAsia"/>
          <w:sz w:val="21"/>
          <w:szCs w:val="21"/>
        </w:rPr>
        <w:t>4.1 选择</w:t>
      </w:r>
      <w:bookmarkEnd w:id="22"/>
      <w:bookmarkEnd w:id="23"/>
      <w:bookmarkEnd w:id="24"/>
      <w:r>
        <w:rPr>
          <w:rFonts w:ascii="黑体" w:eastAsia="黑体" w:hint="eastAsia"/>
          <w:sz w:val="21"/>
          <w:szCs w:val="21"/>
        </w:rPr>
        <w:t>原则</w:t>
      </w:r>
      <w:bookmarkEnd w:id="25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按当地生态类型和市场需求，选择生育期适宜、高产、优质、抗病、抗虫的非转基因大豆品种。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26" w:name="_Toc501653602"/>
      <w:r>
        <w:rPr>
          <w:rFonts w:ascii="黑体" w:eastAsia="黑体"/>
          <w:sz w:val="21"/>
          <w:szCs w:val="21"/>
        </w:rPr>
        <w:t xml:space="preserve">4.2 </w:t>
      </w:r>
      <w:r>
        <w:rPr>
          <w:rFonts w:ascii="黑体" w:eastAsia="黑体" w:hint="eastAsia"/>
          <w:sz w:val="21"/>
          <w:szCs w:val="21"/>
        </w:rPr>
        <w:t>品种选用</w:t>
      </w:r>
      <w:bookmarkEnd w:id="26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lastRenderedPageBreak/>
        <w:t>优先选择国家审定或省级审定的优质品种。四川省、重庆市推荐南夏豆25、南豆12等品种；湖南省推荐中豆41、中豆43等品种；湖北省推荐中豆41、中豆43、中黑豆42、油6019等品种；江西省推荐赣豆5、6、7号、南农99-10、南农99-6等品种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27" w:name="_Toc4889"/>
      <w:bookmarkStart w:id="28" w:name="_Toc22272"/>
      <w:bookmarkStart w:id="29" w:name="_Toc501653603"/>
      <w:bookmarkStart w:id="30" w:name="_Toc12502"/>
      <w:bookmarkStart w:id="31" w:name="_Toc28094"/>
      <w:bookmarkStart w:id="32" w:name="_Toc5985"/>
      <w:bookmarkStart w:id="33" w:name="_Toc3288"/>
      <w:r>
        <w:rPr>
          <w:rFonts w:ascii="黑体" w:eastAsia="黑体"/>
          <w:sz w:val="21"/>
          <w:szCs w:val="21"/>
        </w:rPr>
        <w:t xml:space="preserve">4.3 </w:t>
      </w:r>
      <w:r>
        <w:rPr>
          <w:rFonts w:ascii="黑体" w:eastAsia="黑体" w:hint="eastAsia"/>
          <w:sz w:val="21"/>
          <w:szCs w:val="21"/>
        </w:rPr>
        <w:t>种子处理</w:t>
      </w:r>
      <w:bookmarkEnd w:id="27"/>
      <w:bookmarkEnd w:id="28"/>
      <w:bookmarkEnd w:id="29"/>
      <w:bookmarkEnd w:id="30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34" w:name="_Toc501653604"/>
      <w:r>
        <w:rPr>
          <w:rFonts w:ascii="黑体" w:eastAsia="黑体" w:hAnsi="黑体"/>
          <w:bCs/>
          <w:sz w:val="21"/>
          <w:szCs w:val="21"/>
        </w:rPr>
        <w:t>4.3.1</w:t>
      </w:r>
      <w:r>
        <w:rPr>
          <w:rFonts w:ascii="黑体" w:eastAsia="黑体" w:hAnsi="黑体" w:hint="eastAsia"/>
          <w:bCs/>
          <w:sz w:val="21"/>
          <w:szCs w:val="21"/>
        </w:rPr>
        <w:t>种子精选</w:t>
      </w:r>
      <w:bookmarkEnd w:id="34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用大豆选种机械或人工清选，剔除混杂粒、病斑粒、虫蚀粒、青粒、小粒、瘪粒、破碎粒及杂质等。</w:t>
      </w:r>
      <w:bookmarkEnd w:id="31"/>
      <w:bookmarkEnd w:id="32"/>
      <w:bookmarkEnd w:id="33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35" w:name="_Toc19762"/>
      <w:bookmarkStart w:id="36" w:name="_Toc12318"/>
      <w:bookmarkStart w:id="37" w:name="_Toc8214"/>
      <w:bookmarkStart w:id="38" w:name="_Toc501653605"/>
      <w:r>
        <w:rPr>
          <w:rFonts w:ascii="黑体" w:eastAsia="黑体" w:hAnsi="黑体"/>
          <w:bCs/>
          <w:sz w:val="21"/>
          <w:szCs w:val="21"/>
        </w:rPr>
        <w:t xml:space="preserve">4.3.2 </w:t>
      </w:r>
      <w:bookmarkEnd w:id="35"/>
      <w:bookmarkEnd w:id="36"/>
      <w:bookmarkEnd w:id="37"/>
      <w:r>
        <w:rPr>
          <w:rFonts w:ascii="黑体" w:eastAsia="黑体" w:hAnsi="黑体" w:hint="eastAsia"/>
          <w:bCs/>
          <w:sz w:val="21"/>
          <w:szCs w:val="21"/>
        </w:rPr>
        <w:t>种子质量</w:t>
      </w:r>
      <w:bookmarkEnd w:id="38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种子质量应符合</w:t>
      </w:r>
      <w:r>
        <w:rPr>
          <w:rFonts w:ascii="宋体" w:hAnsi="宋体"/>
          <w:sz w:val="21"/>
          <w:szCs w:val="21"/>
        </w:rPr>
        <w:t>GB4404.2</w:t>
      </w:r>
      <w:r>
        <w:rPr>
          <w:rFonts w:ascii="宋体" w:hAnsi="宋体" w:hint="eastAsia"/>
          <w:sz w:val="21"/>
          <w:szCs w:val="21"/>
        </w:rPr>
        <w:t>的规定，品种纯度＞</w:t>
      </w:r>
      <w:r>
        <w:rPr>
          <w:rFonts w:ascii="宋体" w:hAnsi="宋体"/>
          <w:sz w:val="21"/>
          <w:szCs w:val="21"/>
        </w:rPr>
        <w:t>98%</w:t>
      </w:r>
      <w:r>
        <w:rPr>
          <w:rFonts w:ascii="宋体" w:hAnsi="宋体" w:hint="eastAsia"/>
          <w:sz w:val="21"/>
          <w:szCs w:val="21"/>
        </w:rPr>
        <w:t>，净度＞</w:t>
      </w:r>
      <w:r>
        <w:rPr>
          <w:rFonts w:ascii="宋体" w:hAnsi="宋体"/>
          <w:sz w:val="21"/>
          <w:szCs w:val="21"/>
        </w:rPr>
        <w:t>99%</w:t>
      </w:r>
      <w:r>
        <w:rPr>
          <w:rFonts w:ascii="宋体" w:hAnsi="宋体" w:hint="eastAsia"/>
          <w:sz w:val="21"/>
          <w:szCs w:val="21"/>
        </w:rPr>
        <w:t>，发芽率＞</w:t>
      </w:r>
      <w:r>
        <w:rPr>
          <w:rFonts w:ascii="宋体" w:hAnsi="宋体"/>
          <w:sz w:val="21"/>
          <w:szCs w:val="21"/>
        </w:rPr>
        <w:t>85%</w:t>
      </w:r>
      <w:r>
        <w:rPr>
          <w:rFonts w:ascii="宋体" w:hAnsi="宋体" w:hint="eastAsia"/>
          <w:sz w:val="21"/>
          <w:szCs w:val="21"/>
        </w:rPr>
        <w:t>，水分＜</w:t>
      </w:r>
      <w:r>
        <w:rPr>
          <w:rFonts w:ascii="宋体" w:hAnsi="宋体"/>
          <w:sz w:val="21"/>
          <w:szCs w:val="21"/>
        </w:rPr>
        <w:t>12%</w:t>
      </w:r>
      <w:r>
        <w:rPr>
          <w:rFonts w:ascii="宋体" w:hAnsi="宋体" w:hint="eastAsia"/>
          <w:sz w:val="21"/>
          <w:szCs w:val="21"/>
        </w:rPr>
        <w:t>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39" w:name="_Toc15273"/>
      <w:bookmarkStart w:id="40" w:name="_Toc24921"/>
      <w:bookmarkStart w:id="41" w:name="_Toc20750"/>
      <w:bookmarkStart w:id="42" w:name="_Toc501653606"/>
      <w:r>
        <w:rPr>
          <w:rFonts w:ascii="黑体" w:eastAsia="黑体" w:hAnsi="黑体"/>
          <w:bCs/>
          <w:sz w:val="21"/>
          <w:szCs w:val="21"/>
        </w:rPr>
        <w:t xml:space="preserve">4.3.3 </w:t>
      </w:r>
      <w:r>
        <w:rPr>
          <w:rFonts w:ascii="黑体" w:eastAsia="黑体" w:hAnsi="黑体" w:hint="eastAsia"/>
          <w:bCs/>
          <w:sz w:val="21"/>
          <w:szCs w:val="21"/>
        </w:rPr>
        <w:t>种子处理</w:t>
      </w:r>
      <w:bookmarkEnd w:id="39"/>
      <w:bookmarkEnd w:id="40"/>
      <w:bookmarkEnd w:id="41"/>
      <w:bookmarkEnd w:id="42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播种前可晒种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d～</w:t>
      </w:r>
      <w:r>
        <w:rPr>
          <w:rFonts w:ascii="宋体" w:hAnsi="宋体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d，注意防止日光暴晒造成种子损伤。可采用大豆专用种衣剂包衣，把拌好的种衣剂倒入种子容器中，边倒边搅拌。当豆种表面沾满种衣剂后，置放在阴凉通风处晾干，装袋备用。种衣剂应符合NY/T 393的规定。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43" w:name="_Toc10036"/>
      <w:bookmarkStart w:id="44" w:name="_Toc501653607"/>
      <w:bookmarkStart w:id="45" w:name="_Toc19888"/>
      <w:bookmarkStart w:id="46" w:name="_Toc8342"/>
      <w:r>
        <w:rPr>
          <w:rFonts w:ascii="黑体" w:eastAsia="黑体" w:hint="eastAsia"/>
          <w:sz w:val="21"/>
          <w:szCs w:val="21"/>
        </w:rPr>
        <w:t>5 整地与播种</w:t>
      </w:r>
      <w:bookmarkEnd w:id="43"/>
      <w:bookmarkEnd w:id="44"/>
      <w:bookmarkEnd w:id="45"/>
      <w:bookmarkEnd w:id="46"/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47" w:name="_Toc26492"/>
      <w:bookmarkStart w:id="48" w:name="_Toc31322"/>
      <w:bookmarkStart w:id="49" w:name="_Toc501653608"/>
      <w:bookmarkStart w:id="50" w:name="_Toc23104"/>
      <w:r>
        <w:rPr>
          <w:rFonts w:ascii="黑体" w:eastAsia="黑体"/>
          <w:sz w:val="21"/>
          <w:szCs w:val="21"/>
        </w:rPr>
        <w:t>5.1</w:t>
      </w:r>
      <w:r>
        <w:rPr>
          <w:rFonts w:ascii="黑体" w:eastAsia="黑体" w:hint="eastAsia"/>
          <w:sz w:val="21"/>
          <w:szCs w:val="21"/>
        </w:rPr>
        <w:t xml:space="preserve"> 整地</w:t>
      </w:r>
      <w:bookmarkEnd w:id="47"/>
      <w:bookmarkEnd w:id="48"/>
      <w:bookmarkEnd w:id="49"/>
      <w:bookmarkEnd w:id="50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bookmarkStart w:id="51" w:name="_Toc6938"/>
      <w:bookmarkStart w:id="52" w:name="_Toc1490"/>
      <w:bookmarkStart w:id="53" w:name="_Toc21910"/>
      <w:r>
        <w:rPr>
          <w:rFonts w:ascii="宋体" w:hAnsi="宋体" w:hint="eastAsia"/>
          <w:sz w:val="21"/>
          <w:szCs w:val="21"/>
        </w:rPr>
        <w:t>可抢晴天精细旋地，要求土壤细碎、地块平整。积、渗水地块可开围沟、腰沟排水。不同地域根据土壤、前茬作物和栽培制度等情况进行整地，四川、重庆、湖北等地如前茬有小麦，可采用免耕方式；若与玉米等作物间套作，可与玉米协同整地。</w:t>
      </w:r>
    </w:p>
    <w:p w:rsidR="00BC7464" w:rsidRDefault="006F561F">
      <w:pPr>
        <w:spacing w:after="0" w:line="360" w:lineRule="auto"/>
        <w:outlineLvl w:val="1"/>
        <w:rPr>
          <w:rFonts w:ascii="黑体" w:eastAsia="黑体" w:hAnsi="黑体"/>
          <w:bCs/>
          <w:sz w:val="21"/>
          <w:szCs w:val="21"/>
        </w:rPr>
      </w:pPr>
      <w:bookmarkStart w:id="54" w:name="_Toc501653609"/>
      <w:r>
        <w:rPr>
          <w:rFonts w:ascii="黑体" w:eastAsia="黑体" w:hAnsi="黑体"/>
          <w:bCs/>
          <w:sz w:val="21"/>
          <w:szCs w:val="21"/>
        </w:rPr>
        <w:t>5.2</w:t>
      </w:r>
      <w:r>
        <w:rPr>
          <w:rFonts w:ascii="黑体" w:eastAsia="黑体" w:hAnsi="黑体" w:hint="eastAsia"/>
          <w:bCs/>
          <w:sz w:val="21"/>
          <w:szCs w:val="21"/>
        </w:rPr>
        <w:t xml:space="preserve"> 播种</w:t>
      </w:r>
      <w:bookmarkEnd w:id="51"/>
      <w:bookmarkEnd w:id="52"/>
      <w:bookmarkEnd w:id="53"/>
      <w:bookmarkEnd w:id="54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55" w:name="_Toc32091"/>
      <w:bookmarkStart w:id="56" w:name="_Toc5987"/>
      <w:bookmarkStart w:id="57" w:name="_Toc22866"/>
      <w:bookmarkStart w:id="58" w:name="_Toc501653610"/>
      <w:r>
        <w:rPr>
          <w:rFonts w:ascii="黑体" w:eastAsia="黑体" w:hAnsi="黑体"/>
          <w:bCs/>
          <w:sz w:val="21"/>
          <w:szCs w:val="21"/>
        </w:rPr>
        <w:t xml:space="preserve">5.2.1 </w:t>
      </w:r>
      <w:r>
        <w:rPr>
          <w:rFonts w:ascii="黑体" w:eastAsia="黑体" w:hAnsi="黑体" w:hint="eastAsia"/>
          <w:bCs/>
          <w:sz w:val="21"/>
          <w:szCs w:val="21"/>
        </w:rPr>
        <w:t>播种</w:t>
      </w:r>
      <w:bookmarkEnd w:id="55"/>
      <w:bookmarkEnd w:id="56"/>
      <w:bookmarkEnd w:id="57"/>
      <w:r>
        <w:rPr>
          <w:rFonts w:ascii="黑体" w:eastAsia="黑体" w:hAnsi="黑体" w:hint="eastAsia"/>
          <w:bCs/>
          <w:sz w:val="21"/>
          <w:szCs w:val="21"/>
        </w:rPr>
        <w:t>时期</w:t>
      </w:r>
      <w:bookmarkEnd w:id="58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一般在</w:t>
      </w:r>
      <w:r>
        <w:rPr>
          <w:rFonts w:ascii="宋体" w:hAnsi="宋体"/>
          <w:sz w:val="21"/>
          <w:szCs w:val="21"/>
        </w:rPr>
        <w:t>5</w:t>
      </w:r>
      <w:r>
        <w:rPr>
          <w:rFonts w:ascii="宋体" w:hAnsi="宋体" w:hint="eastAsia"/>
          <w:sz w:val="21"/>
          <w:szCs w:val="21"/>
        </w:rPr>
        <w:t>月下旬～</w:t>
      </w:r>
      <w:r>
        <w:rPr>
          <w:rFonts w:ascii="宋体" w:hAnsi="宋体"/>
          <w:sz w:val="21"/>
          <w:szCs w:val="21"/>
        </w:rPr>
        <w:t>6</w:t>
      </w:r>
      <w:r>
        <w:rPr>
          <w:rFonts w:ascii="宋体" w:hAnsi="宋体" w:hint="eastAsia"/>
          <w:sz w:val="21"/>
          <w:szCs w:val="21"/>
        </w:rPr>
        <w:t>月下旬抢墒播种，根据气候特点及土地情况调整播期，避免花期遇干旱或渍涝。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59" w:name="_Toc16179"/>
      <w:bookmarkStart w:id="60" w:name="_Toc8923"/>
      <w:bookmarkStart w:id="61" w:name="_Toc23602"/>
      <w:bookmarkStart w:id="62" w:name="_Toc501653611"/>
      <w:r>
        <w:rPr>
          <w:rFonts w:ascii="黑体" w:eastAsia="黑体" w:hAnsi="黑体"/>
          <w:bCs/>
          <w:sz w:val="21"/>
          <w:szCs w:val="21"/>
        </w:rPr>
        <w:t xml:space="preserve">5.2.2 </w:t>
      </w:r>
      <w:bookmarkEnd w:id="59"/>
      <w:bookmarkEnd w:id="60"/>
      <w:bookmarkEnd w:id="61"/>
      <w:r>
        <w:rPr>
          <w:rFonts w:ascii="黑体" w:eastAsia="黑体" w:hAnsi="黑体" w:hint="eastAsia"/>
          <w:bCs/>
          <w:sz w:val="21"/>
          <w:szCs w:val="21"/>
        </w:rPr>
        <w:t>播种方法</w:t>
      </w:r>
      <w:bookmarkEnd w:id="62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一般采用等行距播种，条播行距</w:t>
      </w:r>
      <w:r>
        <w:rPr>
          <w:rFonts w:ascii="宋体" w:hAnsi="宋体"/>
          <w:sz w:val="21"/>
          <w:szCs w:val="21"/>
        </w:rPr>
        <w:t>50</w:t>
      </w:r>
      <w:r>
        <w:rPr>
          <w:rFonts w:ascii="宋体" w:hAnsi="宋体" w:hint="eastAsia"/>
          <w:sz w:val="21"/>
          <w:szCs w:val="21"/>
        </w:rPr>
        <w:t>cm～</w:t>
      </w:r>
      <w:r>
        <w:rPr>
          <w:rFonts w:ascii="宋体" w:hAnsi="宋体"/>
          <w:sz w:val="21"/>
          <w:szCs w:val="21"/>
        </w:rPr>
        <w:t>60cm</w:t>
      </w:r>
      <w:r>
        <w:rPr>
          <w:rFonts w:ascii="宋体" w:hAnsi="宋体" w:hint="eastAsia"/>
          <w:sz w:val="21"/>
          <w:szCs w:val="21"/>
        </w:rPr>
        <w:t>，株距</w:t>
      </w:r>
      <w:r>
        <w:rPr>
          <w:rFonts w:ascii="宋体" w:hAnsi="宋体"/>
          <w:sz w:val="21"/>
          <w:szCs w:val="21"/>
        </w:rPr>
        <w:t>8</w:t>
      </w:r>
      <w:r>
        <w:rPr>
          <w:rFonts w:ascii="宋体" w:hAnsi="宋体" w:hint="eastAsia"/>
          <w:sz w:val="21"/>
          <w:szCs w:val="21"/>
        </w:rPr>
        <w:t>cm～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5</w:t>
      </w:r>
      <w:r>
        <w:rPr>
          <w:rFonts w:ascii="宋体" w:hAnsi="宋体"/>
          <w:sz w:val="21"/>
          <w:szCs w:val="21"/>
        </w:rPr>
        <w:t>cm</w:t>
      </w:r>
      <w:r>
        <w:rPr>
          <w:rFonts w:ascii="宋体" w:hAnsi="宋体" w:hint="eastAsia"/>
          <w:sz w:val="21"/>
          <w:szCs w:val="21"/>
        </w:rPr>
        <w:t>，单粒播种，盖土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cm</w:t>
      </w:r>
      <w:r>
        <w:rPr>
          <w:rFonts w:ascii="宋体" w:hAnsi="宋体"/>
          <w:sz w:val="21"/>
          <w:szCs w:val="21"/>
        </w:rPr>
        <w:t>～5cm</w:t>
      </w:r>
      <w:r>
        <w:rPr>
          <w:rFonts w:ascii="宋体" w:hAnsi="宋体" w:hint="eastAsia"/>
          <w:sz w:val="21"/>
          <w:szCs w:val="21"/>
        </w:rPr>
        <w:t>；穴播行距4</w:t>
      </w:r>
      <w:r>
        <w:rPr>
          <w:rFonts w:ascii="宋体" w:hAnsi="宋体"/>
          <w:sz w:val="21"/>
          <w:szCs w:val="21"/>
        </w:rPr>
        <w:t>0</w:t>
      </w:r>
      <w:r>
        <w:rPr>
          <w:rFonts w:ascii="宋体" w:hAnsi="宋体" w:hint="eastAsia"/>
          <w:sz w:val="21"/>
          <w:szCs w:val="21"/>
        </w:rPr>
        <w:t>cm～60</w:t>
      </w:r>
      <w:r>
        <w:rPr>
          <w:rFonts w:ascii="宋体" w:hAnsi="宋体"/>
          <w:sz w:val="21"/>
          <w:szCs w:val="21"/>
        </w:rPr>
        <w:t>cm</w:t>
      </w:r>
      <w:bookmarkStart w:id="63" w:name="_Hlk501529694"/>
      <w:r>
        <w:rPr>
          <w:rFonts w:ascii="宋体" w:hAnsi="宋体" w:hint="eastAsia"/>
          <w:sz w:val="21"/>
          <w:szCs w:val="21"/>
        </w:rPr>
        <w:t>、穴距20cm～30</w:t>
      </w:r>
      <w:r>
        <w:rPr>
          <w:rFonts w:ascii="宋体" w:hAnsi="宋体"/>
          <w:sz w:val="21"/>
          <w:szCs w:val="21"/>
        </w:rPr>
        <w:t>cm</w:t>
      </w:r>
      <w:r>
        <w:rPr>
          <w:rFonts w:ascii="宋体" w:hAnsi="宋体" w:hint="eastAsia"/>
          <w:sz w:val="21"/>
          <w:szCs w:val="21"/>
        </w:rPr>
        <w:t>，</w:t>
      </w:r>
      <w:bookmarkEnd w:id="63"/>
      <w:r>
        <w:rPr>
          <w:rFonts w:ascii="宋体" w:hAnsi="宋体" w:hint="eastAsia"/>
          <w:sz w:val="21"/>
          <w:szCs w:val="21"/>
        </w:rPr>
        <w:t>留苗双株，盖土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cm</w:t>
      </w:r>
      <w:r>
        <w:rPr>
          <w:rFonts w:ascii="宋体" w:hAnsi="宋体"/>
          <w:sz w:val="21"/>
          <w:szCs w:val="21"/>
        </w:rPr>
        <w:t>～5cm</w:t>
      </w:r>
      <w:r>
        <w:rPr>
          <w:rFonts w:ascii="宋体" w:hAnsi="宋体" w:hint="eastAsia"/>
          <w:sz w:val="21"/>
          <w:szCs w:val="21"/>
        </w:rPr>
        <w:t>，保证不露籽。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64" w:name="_Toc19306"/>
      <w:bookmarkStart w:id="65" w:name="_Toc501653612"/>
      <w:bookmarkStart w:id="66" w:name="_Toc24866"/>
      <w:bookmarkStart w:id="67" w:name="_Toc30970"/>
      <w:r>
        <w:rPr>
          <w:rFonts w:ascii="黑体" w:eastAsia="黑体" w:hAnsi="黑体"/>
          <w:bCs/>
          <w:sz w:val="21"/>
          <w:szCs w:val="21"/>
        </w:rPr>
        <w:t>5.2.3</w:t>
      </w:r>
      <w:r>
        <w:rPr>
          <w:rFonts w:ascii="黑体" w:eastAsia="黑体" w:hAnsi="黑体" w:hint="eastAsia"/>
          <w:bCs/>
          <w:sz w:val="21"/>
          <w:szCs w:val="21"/>
        </w:rPr>
        <w:t xml:space="preserve"> 播种密度</w:t>
      </w:r>
      <w:bookmarkEnd w:id="64"/>
      <w:bookmarkEnd w:id="65"/>
      <w:bookmarkEnd w:id="66"/>
      <w:bookmarkEnd w:id="6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根据品种类型、熟期、分枝特性、水肥条件及气候因素而定。植株高大繁茂、分枝多、生育期长的品种，播种密度宜小；植株矮小、分枝少、生育期短的品种，播种密度宜大。肥地宜稀，薄地宜密。早熟品种推荐每亩</w:t>
      </w:r>
      <w:r>
        <w:rPr>
          <w:rFonts w:ascii="宋体" w:hAnsi="宋体"/>
          <w:sz w:val="21"/>
          <w:szCs w:val="21"/>
        </w:rPr>
        <w:t>1.3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1.5</w:t>
      </w:r>
      <w:r>
        <w:rPr>
          <w:rFonts w:ascii="宋体" w:hAnsi="宋体" w:hint="eastAsia"/>
          <w:sz w:val="21"/>
          <w:szCs w:val="21"/>
        </w:rPr>
        <w:t>万株，中熟品种推荐每亩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1.3</w:t>
      </w:r>
      <w:r>
        <w:rPr>
          <w:rFonts w:ascii="宋体" w:hAnsi="宋体" w:hint="eastAsia"/>
          <w:sz w:val="21"/>
          <w:szCs w:val="21"/>
        </w:rPr>
        <w:t>万株，中晚熟品种和晚熟品种推荐每亩</w:t>
      </w:r>
      <w:r>
        <w:rPr>
          <w:rFonts w:ascii="宋体" w:hAnsi="宋体"/>
          <w:sz w:val="21"/>
          <w:szCs w:val="21"/>
        </w:rPr>
        <w:t>0.7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万株左右。间（套）作大豆的种植密度一般为单作大豆密度的</w:t>
      </w:r>
      <w:r>
        <w:rPr>
          <w:rFonts w:ascii="宋体" w:hAnsi="宋体"/>
          <w:sz w:val="21"/>
          <w:szCs w:val="21"/>
        </w:rPr>
        <w:t>70%</w:t>
      </w:r>
      <w:r>
        <w:rPr>
          <w:rFonts w:ascii="宋体" w:hAnsi="宋体" w:cs="宋体" w:hint="eastAsia"/>
          <w:color w:val="000000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80%</w:t>
      </w:r>
      <w:r>
        <w:rPr>
          <w:rFonts w:ascii="宋体" w:hAnsi="宋体" w:hint="eastAsia"/>
          <w:sz w:val="21"/>
          <w:szCs w:val="21"/>
        </w:rPr>
        <w:t>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68" w:name="_Toc19273"/>
      <w:bookmarkStart w:id="69" w:name="_Toc27924"/>
      <w:bookmarkStart w:id="70" w:name="_Toc13602"/>
      <w:bookmarkStart w:id="71" w:name="_Toc501653613"/>
      <w:r>
        <w:rPr>
          <w:rFonts w:ascii="黑体" w:eastAsia="黑体" w:hAnsi="黑体"/>
          <w:bCs/>
          <w:sz w:val="21"/>
          <w:szCs w:val="21"/>
        </w:rPr>
        <w:t xml:space="preserve">5.2.4 </w:t>
      </w:r>
      <w:r>
        <w:rPr>
          <w:rFonts w:ascii="黑体" w:eastAsia="黑体" w:hAnsi="黑体" w:hint="eastAsia"/>
          <w:bCs/>
          <w:sz w:val="21"/>
          <w:szCs w:val="21"/>
        </w:rPr>
        <w:t>播种量</w:t>
      </w:r>
      <w:bookmarkEnd w:id="68"/>
      <w:bookmarkEnd w:id="69"/>
      <w:bookmarkEnd w:id="70"/>
      <w:bookmarkEnd w:id="71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根据种植密度、发芽率等确定播种量，一般每亩为</w:t>
      </w:r>
      <w:r>
        <w:rPr>
          <w:rFonts w:ascii="宋体" w:hAnsi="宋体"/>
          <w:sz w:val="21"/>
          <w:szCs w:val="21"/>
        </w:rPr>
        <w:t>4</w:t>
      </w:r>
      <w:r>
        <w:rPr>
          <w:rFonts w:ascii="宋体" w:hAnsi="宋体" w:hint="eastAsia"/>
          <w:sz w:val="21"/>
          <w:szCs w:val="21"/>
        </w:rPr>
        <w:t>kg</w:t>
      </w:r>
      <w:r>
        <w:rPr>
          <w:rFonts w:ascii="宋体" w:hAnsi="宋体" w:cs="宋体" w:hint="eastAsia"/>
          <w:color w:val="000000"/>
          <w:sz w:val="21"/>
          <w:szCs w:val="21"/>
        </w:rPr>
        <w:t>～</w:t>
      </w:r>
      <w:r>
        <w:rPr>
          <w:rFonts w:ascii="宋体" w:hAnsi="宋体" w:hint="eastAsia"/>
          <w:sz w:val="21"/>
          <w:szCs w:val="21"/>
        </w:rPr>
        <w:t>6</w:t>
      </w:r>
      <w:r>
        <w:rPr>
          <w:rFonts w:ascii="宋体" w:hAnsi="宋体"/>
          <w:sz w:val="21"/>
          <w:szCs w:val="21"/>
        </w:rPr>
        <w:t>kg</w:t>
      </w:r>
      <w:r>
        <w:rPr>
          <w:rFonts w:ascii="宋体" w:hAnsi="宋体" w:hint="eastAsia"/>
          <w:sz w:val="21"/>
          <w:szCs w:val="21"/>
        </w:rPr>
        <w:t>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72" w:name="_Toc12297"/>
      <w:bookmarkStart w:id="73" w:name="_Toc20872"/>
      <w:bookmarkStart w:id="74" w:name="_Toc501653614"/>
      <w:bookmarkStart w:id="75" w:name="_Toc16306"/>
      <w:r>
        <w:rPr>
          <w:rFonts w:ascii="黑体" w:eastAsia="黑体" w:hint="eastAsia"/>
          <w:sz w:val="21"/>
          <w:szCs w:val="21"/>
        </w:rPr>
        <w:lastRenderedPageBreak/>
        <w:t>6 田间管理</w:t>
      </w:r>
      <w:bookmarkEnd w:id="72"/>
      <w:bookmarkEnd w:id="73"/>
      <w:bookmarkEnd w:id="74"/>
      <w:bookmarkEnd w:id="75"/>
      <w:r>
        <w:rPr>
          <w:rFonts w:ascii="黑体" w:eastAsia="黑体" w:hint="eastAsia"/>
          <w:sz w:val="21"/>
          <w:szCs w:val="21"/>
        </w:rPr>
        <w:t xml:space="preserve"> 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76" w:name="_Toc13883"/>
      <w:bookmarkStart w:id="77" w:name="_Toc19480"/>
      <w:bookmarkStart w:id="78" w:name="_Toc501653615"/>
      <w:bookmarkStart w:id="79" w:name="_Toc25514"/>
      <w:r>
        <w:rPr>
          <w:rFonts w:ascii="黑体" w:eastAsia="黑体"/>
          <w:sz w:val="21"/>
          <w:szCs w:val="21"/>
        </w:rPr>
        <w:t>6.1</w:t>
      </w:r>
      <w:r>
        <w:rPr>
          <w:rFonts w:ascii="黑体" w:eastAsia="黑体" w:hint="eastAsia"/>
          <w:sz w:val="21"/>
          <w:szCs w:val="21"/>
        </w:rPr>
        <w:t xml:space="preserve"> 灌溉</w:t>
      </w:r>
      <w:bookmarkEnd w:id="76"/>
      <w:bookmarkEnd w:id="77"/>
      <w:bookmarkEnd w:id="78"/>
      <w:bookmarkEnd w:id="79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大豆在花荚期和鼓粒期对干旱敏感，若土壤干旱、植株表现出缺水状态时，应及时灌溉。大豆幼苗期的适宜土壤田间持水量为60%左右，分枝期为65%左右，开花、结荚、鼓粒期为80%左右，当土壤田间持水量低于适宜持水量时应进行浇水。多雨、田间积水要及时排水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80" w:name="_Toc23380"/>
      <w:bookmarkStart w:id="81" w:name="_Toc501653616"/>
      <w:bookmarkStart w:id="82" w:name="_Toc27681"/>
      <w:bookmarkStart w:id="83" w:name="_Toc10002"/>
      <w:r>
        <w:rPr>
          <w:rFonts w:ascii="黑体" w:eastAsia="黑体"/>
          <w:sz w:val="21"/>
          <w:szCs w:val="21"/>
        </w:rPr>
        <w:t>6.2</w:t>
      </w:r>
      <w:r>
        <w:rPr>
          <w:rFonts w:ascii="黑体" w:eastAsia="黑体" w:hint="eastAsia"/>
          <w:sz w:val="21"/>
          <w:szCs w:val="21"/>
        </w:rPr>
        <w:t xml:space="preserve"> 施肥</w:t>
      </w:r>
      <w:bookmarkEnd w:id="80"/>
      <w:bookmarkEnd w:id="81"/>
      <w:bookmarkEnd w:id="82"/>
      <w:bookmarkEnd w:id="83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84" w:name="_Toc21521"/>
      <w:bookmarkStart w:id="85" w:name="_Toc4077"/>
      <w:bookmarkStart w:id="86" w:name="_Toc501653617"/>
      <w:bookmarkStart w:id="87" w:name="_Toc18510"/>
      <w:r>
        <w:rPr>
          <w:rFonts w:ascii="黑体" w:eastAsia="黑体" w:hAnsi="黑体"/>
          <w:bCs/>
          <w:sz w:val="21"/>
          <w:szCs w:val="21"/>
        </w:rPr>
        <w:t xml:space="preserve">6.2.1 </w:t>
      </w:r>
      <w:r>
        <w:rPr>
          <w:rFonts w:ascii="黑体" w:eastAsia="黑体" w:hAnsi="黑体" w:hint="eastAsia"/>
          <w:bCs/>
          <w:sz w:val="21"/>
          <w:szCs w:val="21"/>
        </w:rPr>
        <w:t>施肥原则</w:t>
      </w:r>
      <w:bookmarkEnd w:id="84"/>
      <w:bookmarkEnd w:id="85"/>
      <w:bookmarkEnd w:id="86"/>
      <w:bookmarkEnd w:id="8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绿色食品夏大豆生产过程中肥料种类的选取应以农家肥料、有机肥料、微生物肥料为主，化学肥料为辅。肥料使用符合</w:t>
      </w:r>
      <w:r>
        <w:rPr>
          <w:rFonts w:ascii="宋体" w:hAnsi="宋体"/>
          <w:sz w:val="21"/>
          <w:szCs w:val="21"/>
        </w:rPr>
        <w:t>NY/T 394</w:t>
      </w:r>
      <w:r>
        <w:rPr>
          <w:rFonts w:ascii="宋体" w:hAnsi="宋体" w:hint="eastAsia"/>
          <w:sz w:val="21"/>
          <w:szCs w:val="21"/>
        </w:rPr>
        <w:t>绿色食品肥料使用准则。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88" w:name="_Toc14140"/>
      <w:bookmarkStart w:id="89" w:name="_Toc30222"/>
      <w:bookmarkStart w:id="90" w:name="_Toc501653618"/>
      <w:bookmarkStart w:id="91" w:name="_Toc19676"/>
      <w:r>
        <w:rPr>
          <w:rFonts w:ascii="黑体" w:eastAsia="黑体" w:hAnsi="黑体"/>
          <w:bCs/>
          <w:sz w:val="21"/>
          <w:szCs w:val="21"/>
        </w:rPr>
        <w:t xml:space="preserve">6.2.2 </w:t>
      </w:r>
      <w:r>
        <w:rPr>
          <w:rFonts w:ascii="黑体" w:eastAsia="黑体" w:hAnsi="黑体" w:hint="eastAsia"/>
          <w:bCs/>
          <w:sz w:val="21"/>
          <w:szCs w:val="21"/>
        </w:rPr>
        <w:t>施肥方法</w:t>
      </w:r>
      <w:bookmarkEnd w:id="88"/>
      <w:bookmarkEnd w:id="89"/>
      <w:bookmarkEnd w:id="90"/>
      <w:bookmarkEnd w:id="91"/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 xml:space="preserve">6.2.2.1 </w:t>
      </w:r>
      <w:r>
        <w:rPr>
          <w:rFonts w:ascii="黑体" w:eastAsia="黑体" w:hAnsi="黑体" w:hint="eastAsia"/>
          <w:bCs/>
          <w:sz w:val="21"/>
          <w:szCs w:val="21"/>
        </w:rPr>
        <w:t>基肥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优先采用测土配方施肥，无测土条件的。无测土条件的，一般在旋耕前，每亩施用农家肥或商品有机肥500kg～1000kg，磷肥30kg～50kg（南方酸性土壤推荐钙镁磷肥，其次为过磷酸钙或重过磷酸钙）、复合肥5kg～10kg（推荐氮磷钾比例10-20-15），钾肥可不施用或少施用，无机氮与有机氮之比不超过1∶1。土壤肥力较好时，施用有机肥料后，相应化学肥料可减少施用或不施用。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 xml:space="preserve">6.2.2.2 </w:t>
      </w:r>
      <w:r>
        <w:rPr>
          <w:rFonts w:ascii="黑体" w:eastAsia="黑体" w:hAnsi="黑体" w:hint="eastAsia"/>
          <w:bCs/>
          <w:sz w:val="21"/>
          <w:szCs w:val="21"/>
        </w:rPr>
        <w:t>种肥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根瘤菌肥拌种施用，符合</w:t>
      </w:r>
      <w:r>
        <w:rPr>
          <w:rFonts w:ascii="宋体" w:hAnsi="宋体"/>
          <w:sz w:val="21"/>
          <w:szCs w:val="21"/>
        </w:rPr>
        <w:t>NY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410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NY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411</w:t>
      </w:r>
      <w:r>
        <w:rPr>
          <w:rFonts w:ascii="宋体" w:hAnsi="宋体" w:hint="eastAsia"/>
          <w:sz w:val="21"/>
          <w:szCs w:val="21"/>
        </w:rPr>
        <w:t>要求。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92" w:name="_Toc29419"/>
      <w:bookmarkStart w:id="93" w:name="_Toc501653619"/>
      <w:bookmarkStart w:id="94" w:name="_Toc8103"/>
      <w:bookmarkStart w:id="95" w:name="_Toc163"/>
      <w:r>
        <w:rPr>
          <w:rFonts w:ascii="黑体" w:eastAsia="黑体"/>
          <w:sz w:val="21"/>
          <w:szCs w:val="21"/>
        </w:rPr>
        <w:t xml:space="preserve">6.3 </w:t>
      </w:r>
      <w:r>
        <w:rPr>
          <w:rFonts w:ascii="黑体" w:eastAsia="黑体" w:hint="eastAsia"/>
          <w:sz w:val="21"/>
          <w:szCs w:val="21"/>
        </w:rPr>
        <w:t>病虫草害防治</w:t>
      </w:r>
      <w:bookmarkEnd w:id="92"/>
      <w:bookmarkEnd w:id="93"/>
      <w:bookmarkEnd w:id="94"/>
      <w:bookmarkEnd w:id="95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96" w:name="_Toc18449"/>
      <w:bookmarkStart w:id="97" w:name="_Toc25369"/>
      <w:bookmarkStart w:id="98" w:name="_Toc501653620"/>
      <w:bookmarkStart w:id="99" w:name="_Toc3290"/>
      <w:r>
        <w:rPr>
          <w:rFonts w:ascii="黑体" w:eastAsia="黑体" w:hAnsi="黑体"/>
          <w:bCs/>
          <w:sz w:val="21"/>
          <w:szCs w:val="21"/>
        </w:rPr>
        <w:t>6.3.1</w:t>
      </w:r>
      <w:r>
        <w:rPr>
          <w:rFonts w:ascii="黑体" w:eastAsia="黑体" w:hAnsi="黑体" w:hint="eastAsia"/>
          <w:bCs/>
          <w:sz w:val="21"/>
          <w:szCs w:val="21"/>
        </w:rPr>
        <w:t>防治原则</w:t>
      </w:r>
      <w:bookmarkEnd w:id="96"/>
      <w:bookmarkEnd w:id="97"/>
      <w:bookmarkEnd w:id="98"/>
      <w:bookmarkEnd w:id="99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依据“预防为主，综合防治”指导方针，优先采用植物检疫、农业防治、物理防治、生物防治等方法，必要时使用化学农药进行防治，农药使用应符合NY/T 393的规定。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>6.3.2</w:t>
      </w:r>
      <w:r>
        <w:rPr>
          <w:rFonts w:ascii="黑体" w:eastAsia="黑体" w:hAnsi="黑体" w:hint="eastAsia"/>
          <w:bCs/>
          <w:sz w:val="21"/>
          <w:szCs w:val="21"/>
        </w:rPr>
        <w:t xml:space="preserve"> 常见病虫害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病毒病、大豆锈病、根腐病、霜霉病、黑潜蝇、豆荚螟、斜纹夜蛾、筛豆龟蝽、豆叶螨等。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>6.3.</w:t>
      </w:r>
      <w:r>
        <w:rPr>
          <w:rFonts w:ascii="黑体" w:eastAsia="黑体" w:hAnsi="黑体" w:hint="eastAsia"/>
          <w:bCs/>
          <w:sz w:val="21"/>
          <w:szCs w:val="21"/>
        </w:rPr>
        <w:t>3 防治措施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 w:hint="eastAsia"/>
          <w:bCs/>
          <w:sz w:val="21"/>
          <w:szCs w:val="21"/>
        </w:rPr>
        <w:t>6.3.3.1 农业防治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优先采用农业防治措施，如种植耐病抗虫品种、选用无病（毒）种子、培育选留壮苗、合理轮作，间套作调节作物布局、耕翻整地、加强肥水管理等措施。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>6.3.3</w:t>
      </w:r>
      <w:r>
        <w:rPr>
          <w:rFonts w:ascii="黑体" w:eastAsia="黑体" w:hAnsi="黑体" w:hint="eastAsia"/>
          <w:bCs/>
          <w:sz w:val="21"/>
          <w:szCs w:val="21"/>
        </w:rPr>
        <w:t>.2物理防治</w:t>
      </w:r>
    </w:p>
    <w:p w:rsidR="00BC7464" w:rsidRDefault="006F561F">
      <w:pPr>
        <w:spacing w:after="0" w:line="360" w:lineRule="auto"/>
        <w:ind w:firstLineChars="200" w:firstLine="420"/>
        <w:rPr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lastRenderedPageBreak/>
        <w:t>每30～4</w:t>
      </w:r>
      <w:r>
        <w:rPr>
          <w:rFonts w:ascii="宋体" w:hAnsi="宋体"/>
          <w:sz w:val="21"/>
          <w:szCs w:val="21"/>
        </w:rPr>
        <w:t>0</w:t>
      </w:r>
      <w:r>
        <w:rPr>
          <w:rFonts w:ascii="宋体" w:hAnsi="宋体" w:hint="eastAsia"/>
          <w:sz w:val="21"/>
          <w:szCs w:val="21"/>
        </w:rPr>
        <w:t>亩安装1个太阳能型频振式杀虫灯，诱杀蛾、金龟子、叶甲等；每亩悬挂</w:t>
      </w:r>
      <w:r>
        <w:rPr>
          <w:rFonts w:ascii="宋体" w:hAnsi="宋体"/>
          <w:sz w:val="21"/>
          <w:szCs w:val="21"/>
        </w:rPr>
        <w:t>40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60</w:t>
      </w:r>
      <w:r>
        <w:rPr>
          <w:rFonts w:ascii="宋体" w:hAnsi="宋体" w:hint="eastAsia"/>
          <w:sz w:val="21"/>
          <w:szCs w:val="21"/>
        </w:rPr>
        <w:t>张色诱版，诱杀粉虱、蚜虫、椿象等；或者通过人工清除病株和病部防治病害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及时</w:t>
      </w:r>
      <w:r>
        <w:rPr>
          <w:rFonts w:hint="eastAsia"/>
          <w:sz w:val="21"/>
          <w:szCs w:val="21"/>
        </w:rPr>
        <w:t>摘除</w:t>
      </w:r>
      <w:r>
        <w:rPr>
          <w:sz w:val="21"/>
          <w:szCs w:val="21"/>
        </w:rPr>
        <w:t>卵块</w:t>
      </w:r>
      <w:r>
        <w:rPr>
          <w:rFonts w:hint="eastAsia"/>
          <w:sz w:val="21"/>
          <w:szCs w:val="21"/>
        </w:rPr>
        <w:t>和</w:t>
      </w:r>
      <w:r>
        <w:rPr>
          <w:sz w:val="21"/>
          <w:szCs w:val="21"/>
        </w:rPr>
        <w:t>初孵</w:t>
      </w:r>
      <w:r>
        <w:rPr>
          <w:rFonts w:hint="eastAsia"/>
          <w:sz w:val="21"/>
          <w:szCs w:val="21"/>
        </w:rPr>
        <w:t>幼虫叶片防治虫害。对于草害可采用人工除草或机械除草措施。</w:t>
      </w:r>
    </w:p>
    <w:p w:rsidR="00BC7464" w:rsidRDefault="006F561F">
      <w:pPr>
        <w:spacing w:after="0" w:line="360" w:lineRule="auto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>6.3.</w:t>
      </w:r>
      <w:r>
        <w:rPr>
          <w:rFonts w:ascii="黑体" w:eastAsia="黑体" w:hAnsi="黑体" w:hint="eastAsia"/>
          <w:bCs/>
          <w:sz w:val="21"/>
          <w:szCs w:val="21"/>
        </w:rPr>
        <w:t>3.3生物防治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在成虫发生期，田间设置糖醋酒、信息素、性诱素等诱蛾器诱杀豆秆黑潜蝇和某些夜蛾成虫。在田间释放瓢虫、草蛉等天敌捕食大豆蚜等害虫。可使用微生物农药，如苏云金杆菌防治</w:t>
      </w:r>
      <w:r w:rsidR="00AE6B31">
        <w:rPr>
          <w:rFonts w:ascii="宋体" w:hAnsi="宋体" w:hint="eastAsia"/>
          <w:sz w:val="21"/>
          <w:szCs w:val="21"/>
        </w:rPr>
        <w:t>天</w:t>
      </w:r>
      <w:r>
        <w:rPr>
          <w:rFonts w:ascii="宋体" w:hAnsi="宋体" w:hint="eastAsia"/>
          <w:sz w:val="21"/>
          <w:szCs w:val="21"/>
        </w:rPr>
        <w:t>蛾等。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r>
        <w:rPr>
          <w:rFonts w:ascii="黑体" w:eastAsia="黑体" w:hAnsi="黑体"/>
          <w:bCs/>
          <w:sz w:val="21"/>
          <w:szCs w:val="21"/>
        </w:rPr>
        <w:t>6.3.</w:t>
      </w:r>
      <w:r>
        <w:rPr>
          <w:rFonts w:ascii="黑体" w:eastAsia="黑体" w:hAnsi="黑体" w:hint="eastAsia"/>
          <w:bCs/>
          <w:sz w:val="21"/>
          <w:szCs w:val="21"/>
        </w:rPr>
        <w:t>3.4 化学防治</w:t>
      </w:r>
    </w:p>
    <w:p w:rsidR="00BC7464" w:rsidRDefault="006F561F">
      <w:pPr>
        <w:spacing w:after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具体防治方法及推荐农药使用情况见附录A。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00" w:name="_Toc23574"/>
      <w:bookmarkStart w:id="101" w:name="_Toc25600"/>
      <w:bookmarkStart w:id="102" w:name="_Toc501653622"/>
      <w:bookmarkStart w:id="103" w:name="_Toc24599"/>
      <w:r>
        <w:rPr>
          <w:rFonts w:ascii="黑体" w:eastAsia="黑体"/>
          <w:sz w:val="21"/>
          <w:szCs w:val="21"/>
        </w:rPr>
        <w:t>6.4</w:t>
      </w:r>
      <w:r>
        <w:rPr>
          <w:rFonts w:ascii="黑体" w:eastAsia="黑体" w:hint="eastAsia"/>
          <w:sz w:val="21"/>
          <w:szCs w:val="21"/>
        </w:rPr>
        <w:t xml:space="preserve"> 其他管理措施</w:t>
      </w:r>
      <w:bookmarkEnd w:id="100"/>
      <w:bookmarkEnd w:id="101"/>
      <w:bookmarkEnd w:id="102"/>
      <w:bookmarkEnd w:id="103"/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104" w:name="_Toc13413"/>
      <w:bookmarkStart w:id="105" w:name="_Toc21177"/>
      <w:bookmarkStart w:id="106" w:name="_Toc30369"/>
      <w:bookmarkStart w:id="107" w:name="_Toc501653623"/>
      <w:r>
        <w:rPr>
          <w:rFonts w:ascii="黑体" w:eastAsia="黑体" w:hAnsi="黑体"/>
          <w:bCs/>
          <w:sz w:val="21"/>
          <w:szCs w:val="21"/>
        </w:rPr>
        <w:t xml:space="preserve">6.4.1 </w:t>
      </w:r>
      <w:r>
        <w:rPr>
          <w:rFonts w:ascii="黑体" w:eastAsia="黑体" w:hAnsi="黑体" w:hint="eastAsia"/>
          <w:bCs/>
          <w:sz w:val="21"/>
          <w:szCs w:val="21"/>
        </w:rPr>
        <w:t>补苗</w:t>
      </w:r>
      <w:bookmarkEnd w:id="104"/>
      <w:bookmarkEnd w:id="105"/>
      <w:bookmarkEnd w:id="106"/>
      <w:r>
        <w:rPr>
          <w:rFonts w:ascii="黑体" w:eastAsia="黑体" w:hAnsi="黑体" w:hint="eastAsia"/>
          <w:bCs/>
          <w:sz w:val="21"/>
          <w:szCs w:val="21"/>
        </w:rPr>
        <w:t>间苗定苗</w:t>
      </w:r>
      <w:bookmarkEnd w:id="10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大豆出苗后及时顺垄查苗，对断苗</w:t>
      </w:r>
      <w:r>
        <w:rPr>
          <w:rFonts w:ascii="宋体" w:hAnsi="宋体"/>
          <w:sz w:val="21"/>
          <w:szCs w:val="21"/>
        </w:rPr>
        <w:t>30cm</w:t>
      </w:r>
      <w:r>
        <w:rPr>
          <w:rFonts w:ascii="宋体" w:hAnsi="宋体" w:hint="eastAsia"/>
          <w:sz w:val="21"/>
          <w:szCs w:val="21"/>
        </w:rPr>
        <w:t>以内的可在两端留双株，断苗</w:t>
      </w:r>
      <w:r>
        <w:rPr>
          <w:rFonts w:ascii="宋体" w:hAnsi="宋体"/>
          <w:sz w:val="21"/>
          <w:szCs w:val="21"/>
        </w:rPr>
        <w:t>30cm</w:t>
      </w:r>
      <w:r>
        <w:rPr>
          <w:rFonts w:ascii="宋体" w:hAnsi="宋体" w:hint="eastAsia"/>
          <w:sz w:val="21"/>
          <w:szCs w:val="21"/>
        </w:rPr>
        <w:t>以上的及时补种，或芽苗带土带水移栽，移苗最佳时期在子叶到真叶期。在真叶期至第一片复叶期间苗，间苗时应淘汰弱株、病株及混杂株，保留健壮株，第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片复叶全展期定苗。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108" w:name="_Toc501653624"/>
      <w:r>
        <w:rPr>
          <w:rFonts w:ascii="黑体" w:eastAsia="黑体" w:hAnsi="黑体"/>
          <w:bCs/>
          <w:sz w:val="21"/>
          <w:szCs w:val="21"/>
        </w:rPr>
        <w:t xml:space="preserve">6.4.2 </w:t>
      </w:r>
      <w:r>
        <w:rPr>
          <w:rFonts w:ascii="黑体" w:eastAsia="黑体" w:hAnsi="黑体" w:hint="eastAsia"/>
          <w:bCs/>
          <w:sz w:val="21"/>
          <w:szCs w:val="21"/>
        </w:rPr>
        <w:t>茬口安排</w:t>
      </w:r>
      <w:bookmarkEnd w:id="108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大豆不宜在其他豆类后接茬种植，忌重茬种植。</w:t>
      </w:r>
    </w:p>
    <w:p w:rsidR="00BC7464" w:rsidRDefault="006F561F">
      <w:pPr>
        <w:spacing w:after="0" w:line="360" w:lineRule="auto"/>
        <w:outlineLvl w:val="2"/>
        <w:rPr>
          <w:rFonts w:ascii="黑体" w:eastAsia="黑体" w:hAnsi="黑体"/>
          <w:bCs/>
          <w:sz w:val="21"/>
          <w:szCs w:val="21"/>
        </w:rPr>
      </w:pPr>
      <w:bookmarkStart w:id="109" w:name="_Toc501653625"/>
      <w:r>
        <w:rPr>
          <w:rFonts w:ascii="黑体" w:eastAsia="黑体" w:hAnsi="黑体"/>
          <w:bCs/>
          <w:sz w:val="21"/>
          <w:szCs w:val="21"/>
        </w:rPr>
        <w:t xml:space="preserve">6.4.3 </w:t>
      </w:r>
      <w:r>
        <w:rPr>
          <w:rFonts w:ascii="黑体" w:eastAsia="黑体" w:hAnsi="黑体" w:hint="eastAsia"/>
          <w:bCs/>
          <w:sz w:val="21"/>
          <w:szCs w:val="21"/>
        </w:rPr>
        <w:t>化控</w:t>
      </w:r>
      <w:bookmarkEnd w:id="109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根据田间长势实施化控。对于植株过高、生长较旺或施肥不当导致徒长的田块，可在初花期叶面喷施烯效唑（5%烯效唑可湿性粉剂</w:t>
      </w:r>
      <w:r>
        <w:rPr>
          <w:rFonts w:ascii="宋体" w:hAnsi="宋体"/>
          <w:sz w:val="21"/>
          <w:szCs w:val="21"/>
        </w:rPr>
        <w:t>24</w:t>
      </w:r>
      <w:r>
        <w:rPr>
          <w:rFonts w:ascii="宋体" w:hAnsi="宋体" w:hint="eastAsia"/>
          <w:sz w:val="21"/>
          <w:szCs w:val="21"/>
        </w:rPr>
        <w:t>～</w:t>
      </w:r>
      <w:r>
        <w:rPr>
          <w:rFonts w:ascii="宋体" w:hAnsi="宋体"/>
          <w:sz w:val="21"/>
          <w:szCs w:val="21"/>
        </w:rPr>
        <w:t>48</w:t>
      </w:r>
      <w:r>
        <w:rPr>
          <w:rFonts w:ascii="宋体" w:hAnsi="宋体" w:hint="eastAsia"/>
          <w:sz w:val="21"/>
          <w:szCs w:val="21"/>
        </w:rPr>
        <w:t>g兑水3</w:t>
      </w:r>
      <w:r>
        <w:rPr>
          <w:rFonts w:ascii="宋体" w:hAnsi="宋体"/>
          <w:sz w:val="21"/>
          <w:szCs w:val="21"/>
        </w:rPr>
        <w:t>0</w:t>
      </w:r>
      <w:r>
        <w:rPr>
          <w:rFonts w:ascii="宋体" w:hAnsi="宋体" w:hint="eastAsia"/>
          <w:sz w:val="21"/>
          <w:szCs w:val="21"/>
        </w:rPr>
        <w:t>～4</w:t>
      </w:r>
      <w:r>
        <w:rPr>
          <w:rFonts w:ascii="宋体" w:hAnsi="宋体"/>
          <w:sz w:val="21"/>
          <w:szCs w:val="21"/>
        </w:rPr>
        <w:t>0</w:t>
      </w:r>
      <w:r>
        <w:rPr>
          <w:rFonts w:ascii="宋体" w:hAnsi="宋体" w:hint="eastAsia"/>
          <w:sz w:val="21"/>
          <w:szCs w:val="21"/>
        </w:rPr>
        <w:t>kg/亩）。在同高杆作物间作时，也可采用5%烯效唑可湿性粉剂0</w:t>
      </w:r>
      <w:r>
        <w:rPr>
          <w:rFonts w:ascii="宋体" w:hAnsi="宋体"/>
          <w:sz w:val="21"/>
          <w:szCs w:val="21"/>
        </w:rPr>
        <w:t>.8</w:t>
      </w:r>
      <w:r>
        <w:rPr>
          <w:rFonts w:ascii="宋体" w:hAnsi="宋体" w:hint="eastAsia"/>
          <w:sz w:val="21"/>
          <w:szCs w:val="21"/>
        </w:rPr>
        <w:t>mg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kg干拌种防倒伏。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10" w:name="_Toc501653626"/>
      <w:bookmarkStart w:id="111" w:name="_Toc28165"/>
      <w:bookmarkStart w:id="112" w:name="_Toc19952"/>
      <w:bookmarkStart w:id="113" w:name="_Toc14874"/>
      <w:r>
        <w:rPr>
          <w:rFonts w:ascii="黑体" w:eastAsia="黑体" w:hint="eastAsia"/>
          <w:sz w:val="21"/>
          <w:szCs w:val="21"/>
        </w:rPr>
        <w:t>7 采收</w:t>
      </w:r>
      <w:bookmarkEnd w:id="110"/>
      <w:bookmarkEnd w:id="111"/>
      <w:bookmarkEnd w:id="112"/>
      <w:bookmarkEnd w:id="113"/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14" w:name="_Toc501653627"/>
      <w:bookmarkStart w:id="115" w:name="_Toc22015"/>
      <w:bookmarkStart w:id="116" w:name="_Toc13360"/>
      <w:bookmarkStart w:id="117" w:name="_Toc32503"/>
      <w:r>
        <w:rPr>
          <w:rFonts w:ascii="黑体" w:eastAsia="黑体"/>
          <w:sz w:val="21"/>
          <w:szCs w:val="21"/>
        </w:rPr>
        <w:t>7.1</w:t>
      </w:r>
      <w:r>
        <w:rPr>
          <w:rFonts w:ascii="黑体" w:eastAsia="黑体" w:hint="eastAsia"/>
          <w:sz w:val="21"/>
          <w:szCs w:val="21"/>
        </w:rPr>
        <w:t xml:space="preserve"> 人工采收</w:t>
      </w:r>
      <w:bookmarkEnd w:id="114"/>
      <w:bookmarkEnd w:id="115"/>
      <w:bookmarkEnd w:id="116"/>
      <w:bookmarkEnd w:id="11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大豆黄熟期，全株95%豆荚变为成熟颜色，摇动有响声的植株达50%以上时收获，晾晒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d～</w:t>
      </w:r>
      <w:r>
        <w:rPr>
          <w:rFonts w:ascii="宋体" w:hAnsi="宋体"/>
          <w:sz w:val="21"/>
          <w:szCs w:val="21"/>
        </w:rPr>
        <w:t>4</w:t>
      </w:r>
      <w:r>
        <w:rPr>
          <w:rFonts w:ascii="宋体" w:hAnsi="宋体" w:hint="eastAsia"/>
          <w:sz w:val="21"/>
          <w:szCs w:val="21"/>
        </w:rPr>
        <w:t>d后及时脱粒，损失率＜5</w:t>
      </w:r>
      <w:r>
        <w:rPr>
          <w:rFonts w:ascii="宋体" w:hAnsi="宋体"/>
          <w:sz w:val="21"/>
          <w:szCs w:val="21"/>
        </w:rPr>
        <w:t>%</w:t>
      </w:r>
      <w:r>
        <w:rPr>
          <w:rFonts w:ascii="宋体" w:hAnsi="宋体" w:hint="eastAsia"/>
          <w:sz w:val="21"/>
          <w:szCs w:val="21"/>
        </w:rPr>
        <w:t>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18" w:name="_Toc8741"/>
      <w:bookmarkStart w:id="119" w:name="_Toc13897"/>
      <w:bookmarkStart w:id="120" w:name="_Toc501653628"/>
      <w:bookmarkStart w:id="121" w:name="_Toc26176"/>
      <w:r>
        <w:rPr>
          <w:rFonts w:ascii="黑体" w:eastAsia="黑体"/>
          <w:sz w:val="21"/>
          <w:szCs w:val="21"/>
        </w:rPr>
        <w:t>7.2</w:t>
      </w:r>
      <w:r>
        <w:rPr>
          <w:rFonts w:ascii="黑体" w:eastAsia="黑体" w:hint="eastAsia"/>
          <w:sz w:val="21"/>
          <w:szCs w:val="21"/>
        </w:rPr>
        <w:t xml:space="preserve"> 机械采收</w:t>
      </w:r>
      <w:bookmarkEnd w:id="118"/>
      <w:bookmarkEnd w:id="119"/>
      <w:bookmarkEnd w:id="120"/>
      <w:bookmarkEnd w:id="121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选择晴天上午或下午收割，割茬要低，不掉荚、不炸荚。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22" w:name="_Toc501653629"/>
      <w:bookmarkStart w:id="123" w:name="_Toc28217"/>
      <w:bookmarkStart w:id="124" w:name="_Toc994"/>
      <w:bookmarkStart w:id="125" w:name="_Toc8734"/>
      <w:r>
        <w:rPr>
          <w:rFonts w:ascii="黑体" w:eastAsia="黑体"/>
          <w:sz w:val="21"/>
          <w:szCs w:val="21"/>
        </w:rPr>
        <w:t>7.3</w:t>
      </w:r>
      <w:r>
        <w:rPr>
          <w:rFonts w:ascii="黑体" w:eastAsia="黑体" w:hint="eastAsia"/>
          <w:sz w:val="21"/>
          <w:szCs w:val="21"/>
        </w:rPr>
        <w:t xml:space="preserve"> 收后处理</w:t>
      </w:r>
      <w:bookmarkEnd w:id="122"/>
      <w:bookmarkEnd w:id="123"/>
      <w:bookmarkEnd w:id="124"/>
      <w:bookmarkEnd w:id="125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脱粒后进行机械或人工清选，杂质≤</w:t>
      </w:r>
      <w:r>
        <w:rPr>
          <w:rFonts w:ascii="宋体" w:hAnsi="宋体"/>
          <w:sz w:val="21"/>
          <w:szCs w:val="21"/>
        </w:rPr>
        <w:t>1%</w:t>
      </w:r>
      <w:r>
        <w:rPr>
          <w:rFonts w:ascii="宋体" w:hAnsi="宋体" w:hint="eastAsia"/>
          <w:sz w:val="21"/>
          <w:szCs w:val="21"/>
        </w:rPr>
        <w:t>，含水率≤</w:t>
      </w:r>
      <w:r>
        <w:rPr>
          <w:rFonts w:ascii="宋体" w:hAnsi="宋体"/>
          <w:sz w:val="21"/>
          <w:szCs w:val="21"/>
        </w:rPr>
        <w:t>13%</w:t>
      </w:r>
      <w:r>
        <w:rPr>
          <w:rFonts w:ascii="宋体" w:hAnsi="宋体" w:hint="eastAsia"/>
          <w:sz w:val="21"/>
          <w:szCs w:val="21"/>
        </w:rPr>
        <w:t>，分品种进行单收割、单脱粒、单贮藏。采用自然晾晒或烘干设备对大豆种子进行干燥，烘干温度应低于40℃。按照GB 1352规定进行分级，包装前进行产品检测，质量应符合</w:t>
      </w:r>
      <w:r>
        <w:rPr>
          <w:rFonts w:ascii="宋体" w:hAnsi="宋体"/>
          <w:sz w:val="21"/>
          <w:szCs w:val="21"/>
        </w:rPr>
        <w:t xml:space="preserve">NY/T 285 </w:t>
      </w:r>
      <w:r>
        <w:rPr>
          <w:rFonts w:ascii="宋体" w:hAnsi="宋体" w:hint="eastAsia"/>
          <w:sz w:val="21"/>
          <w:szCs w:val="21"/>
        </w:rPr>
        <w:t>的要求。认证产品的包装上按要求添加绿色食品标志，按</w:t>
      </w:r>
      <w:r>
        <w:rPr>
          <w:rFonts w:ascii="宋体" w:hAnsi="宋体"/>
          <w:sz w:val="21"/>
          <w:szCs w:val="21"/>
        </w:rPr>
        <w:t>NY/T 658</w:t>
      </w:r>
      <w:r>
        <w:rPr>
          <w:rFonts w:ascii="宋体" w:hAnsi="宋体" w:hint="eastAsia"/>
          <w:sz w:val="21"/>
          <w:szCs w:val="21"/>
        </w:rPr>
        <w:t>绿色食品包装通用准则执行。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26" w:name="_Toc10427"/>
      <w:bookmarkStart w:id="127" w:name="_Toc30836"/>
      <w:bookmarkStart w:id="128" w:name="_Toc2130"/>
      <w:bookmarkStart w:id="129" w:name="_Toc501653630"/>
      <w:r>
        <w:rPr>
          <w:rFonts w:ascii="黑体" w:eastAsia="黑体" w:hint="eastAsia"/>
          <w:sz w:val="21"/>
          <w:szCs w:val="21"/>
        </w:rPr>
        <w:lastRenderedPageBreak/>
        <w:t>8 生产废弃物的处理</w:t>
      </w:r>
      <w:bookmarkEnd w:id="126"/>
      <w:bookmarkEnd w:id="127"/>
      <w:bookmarkEnd w:id="128"/>
      <w:bookmarkEnd w:id="129"/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30" w:name="_Toc17955"/>
      <w:bookmarkStart w:id="131" w:name="_Toc18040"/>
      <w:bookmarkStart w:id="132" w:name="_Toc501653631"/>
      <w:bookmarkStart w:id="133" w:name="_Toc8567"/>
      <w:r>
        <w:rPr>
          <w:rFonts w:ascii="黑体" w:eastAsia="黑体"/>
          <w:sz w:val="21"/>
          <w:szCs w:val="21"/>
        </w:rPr>
        <w:t>8.1</w:t>
      </w:r>
      <w:r>
        <w:rPr>
          <w:rFonts w:ascii="黑体" w:eastAsia="黑体" w:hint="eastAsia"/>
          <w:sz w:val="21"/>
          <w:szCs w:val="21"/>
        </w:rPr>
        <w:t xml:space="preserve"> 农药包装的处理</w:t>
      </w:r>
      <w:bookmarkEnd w:id="130"/>
      <w:bookmarkEnd w:id="131"/>
      <w:bookmarkEnd w:id="132"/>
      <w:bookmarkEnd w:id="133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农药包装使用完毕后，应将空包装物清洗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次以上，将其压破或刺坏，防止重复使用，在安全条件下存放，专人管理，便于统一无害化回收处理。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34" w:name="_Toc31365"/>
      <w:bookmarkStart w:id="135" w:name="_Toc14444"/>
      <w:bookmarkStart w:id="136" w:name="_Toc138"/>
      <w:bookmarkStart w:id="137" w:name="_Toc501653632"/>
      <w:r>
        <w:rPr>
          <w:rFonts w:ascii="黑体" w:eastAsia="黑体"/>
          <w:sz w:val="21"/>
          <w:szCs w:val="21"/>
        </w:rPr>
        <w:t>8.2</w:t>
      </w:r>
      <w:r>
        <w:rPr>
          <w:rFonts w:ascii="黑体" w:eastAsia="黑体" w:hint="eastAsia"/>
          <w:sz w:val="21"/>
          <w:szCs w:val="21"/>
        </w:rPr>
        <w:t xml:space="preserve"> 肥料包装的处理</w:t>
      </w:r>
      <w:bookmarkEnd w:id="134"/>
      <w:bookmarkEnd w:id="135"/>
      <w:bookmarkEnd w:id="136"/>
      <w:bookmarkEnd w:id="137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肥料包装袋要分类、回收和处理。较大的编织袋可洗净后合理重复使用，不易降解的材料要清洗后以循环再生产方式回收处理，专人管理，便于统一无害化回收处理。</w:t>
      </w:r>
    </w:p>
    <w:p w:rsidR="00BC7464" w:rsidRDefault="006F561F">
      <w:pPr>
        <w:spacing w:after="0" w:line="420" w:lineRule="exact"/>
        <w:outlineLvl w:val="1"/>
        <w:rPr>
          <w:rFonts w:ascii="黑体" w:eastAsia="黑体"/>
          <w:sz w:val="21"/>
          <w:szCs w:val="21"/>
        </w:rPr>
      </w:pPr>
      <w:bookmarkStart w:id="138" w:name="_Toc31619"/>
      <w:bookmarkStart w:id="139" w:name="_Toc16976"/>
      <w:bookmarkStart w:id="140" w:name="_Toc26172"/>
      <w:bookmarkStart w:id="141" w:name="_Toc501653633"/>
      <w:r>
        <w:rPr>
          <w:rFonts w:ascii="黑体" w:eastAsia="黑体"/>
          <w:sz w:val="21"/>
          <w:szCs w:val="21"/>
        </w:rPr>
        <w:t>8.3</w:t>
      </w:r>
      <w:r>
        <w:rPr>
          <w:rFonts w:ascii="黑体" w:eastAsia="黑体" w:hint="eastAsia"/>
          <w:sz w:val="21"/>
          <w:szCs w:val="21"/>
        </w:rPr>
        <w:t>落叶、秸秆处理</w:t>
      </w:r>
      <w:bookmarkEnd w:id="138"/>
      <w:bookmarkEnd w:id="139"/>
      <w:bookmarkEnd w:id="140"/>
      <w:bookmarkEnd w:id="141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大豆落叶还田，增加土壤有机质，实现农田可持续发展；大豆秸秆可作饲料，也可采用旋耕机械还田，收获的秸秆混合人畜粪尿高温堆肥，也可投入沼气池进行发酵等。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42" w:name="_Toc501653634"/>
      <w:bookmarkStart w:id="143" w:name="_Toc15474"/>
      <w:bookmarkStart w:id="144" w:name="_Toc5772"/>
      <w:bookmarkStart w:id="145" w:name="_Toc20860"/>
      <w:r>
        <w:rPr>
          <w:rFonts w:ascii="黑体" w:eastAsia="黑体" w:hint="eastAsia"/>
          <w:sz w:val="21"/>
          <w:szCs w:val="21"/>
        </w:rPr>
        <w:t>9 贮藏</w:t>
      </w:r>
      <w:bookmarkEnd w:id="142"/>
      <w:bookmarkEnd w:id="143"/>
      <w:bookmarkEnd w:id="144"/>
      <w:bookmarkEnd w:id="145"/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贮藏条件符合</w:t>
      </w:r>
      <w:r>
        <w:rPr>
          <w:rFonts w:ascii="宋体" w:hAnsi="宋体"/>
          <w:sz w:val="21"/>
          <w:szCs w:val="21"/>
        </w:rPr>
        <w:t>NY/T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1056</w:t>
      </w:r>
      <w:r>
        <w:rPr>
          <w:rFonts w:ascii="宋体" w:hAnsi="宋体" w:hint="eastAsia"/>
          <w:sz w:val="21"/>
          <w:szCs w:val="21"/>
        </w:rPr>
        <w:t>绿色食品贮藏运输规则的要求。需单独存放，不与常规大豆混放。贮藏前要充分干燥，含水量低于</w:t>
      </w:r>
      <w:r>
        <w:rPr>
          <w:rFonts w:ascii="宋体" w:hAnsi="宋体"/>
          <w:sz w:val="21"/>
          <w:szCs w:val="21"/>
        </w:rPr>
        <w:t>13%</w:t>
      </w:r>
      <w:r>
        <w:rPr>
          <w:rFonts w:ascii="宋体" w:hAnsi="宋体" w:hint="eastAsia"/>
          <w:sz w:val="21"/>
          <w:szCs w:val="21"/>
        </w:rPr>
        <w:t>，贮藏温度低于2</w:t>
      </w:r>
      <w:r>
        <w:rPr>
          <w:rFonts w:ascii="宋体" w:hAnsi="宋体"/>
          <w:sz w:val="21"/>
          <w:szCs w:val="21"/>
        </w:rPr>
        <w:t>0</w:t>
      </w:r>
      <w:r>
        <w:rPr>
          <w:rFonts w:ascii="宋体" w:hAnsi="宋体" w:hint="eastAsia"/>
          <w:sz w:val="21"/>
          <w:szCs w:val="21"/>
        </w:rPr>
        <w:t>℃。贮藏场所要干燥通风、防虫防鼠防鸟。</w:t>
      </w:r>
    </w:p>
    <w:p w:rsidR="00BC7464" w:rsidRDefault="006F561F">
      <w:pPr>
        <w:spacing w:after="0" w:line="420" w:lineRule="exact"/>
        <w:outlineLvl w:val="0"/>
        <w:rPr>
          <w:rFonts w:ascii="黑体" w:eastAsia="黑体"/>
          <w:sz w:val="21"/>
          <w:szCs w:val="21"/>
        </w:rPr>
      </w:pPr>
      <w:bookmarkStart w:id="146" w:name="_Toc501653635"/>
      <w:r>
        <w:rPr>
          <w:rFonts w:ascii="黑体" w:eastAsia="黑体" w:hint="eastAsia"/>
          <w:sz w:val="21"/>
          <w:szCs w:val="21"/>
        </w:rPr>
        <w:t xml:space="preserve">10 </w:t>
      </w:r>
      <w:bookmarkEnd w:id="146"/>
      <w:r>
        <w:rPr>
          <w:rFonts w:ascii="黑体" w:eastAsia="黑体" w:hint="eastAsia"/>
          <w:sz w:val="21"/>
          <w:szCs w:val="21"/>
        </w:rPr>
        <w:t>生产档案</w:t>
      </w:r>
    </w:p>
    <w:p w:rsidR="00BC7464" w:rsidRDefault="006F561F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生产者应建立生产档案，记录品种、农药、化肥、病虫草害防治、采收等，所有记录应真实、准确、规范，并具有可追溯性。生产档案有专人保管，并至少保存3年以上。</w:t>
      </w:r>
    </w:p>
    <w:p w:rsidR="00BC7464" w:rsidRDefault="00BC7464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BC7464" w:rsidRDefault="00BC7464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BC7464" w:rsidRDefault="00BC7464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 w:hint="eastAsia"/>
          <w:sz w:val="21"/>
          <w:szCs w:val="21"/>
        </w:rPr>
      </w:pPr>
    </w:p>
    <w:p w:rsidR="00496B26" w:rsidRDefault="00496B26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BC7464" w:rsidRDefault="00BC7464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697090" w:rsidRDefault="00697090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697090" w:rsidRDefault="00697090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697090" w:rsidRDefault="00697090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BC7464" w:rsidRDefault="00BC7464">
      <w:pPr>
        <w:spacing w:after="0"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BC7464" w:rsidRDefault="006F561F">
      <w:pPr>
        <w:widowControl w:val="0"/>
        <w:spacing w:after="0" w:line="360" w:lineRule="auto"/>
        <w:jc w:val="center"/>
        <w:outlineLvl w:val="0"/>
        <w:rPr>
          <w:rFonts w:ascii="黑体" w:eastAsia="黑体" w:hAnsi="黑体"/>
          <w:bCs/>
          <w:kern w:val="2"/>
          <w:sz w:val="21"/>
          <w:szCs w:val="21"/>
        </w:rPr>
      </w:pPr>
      <w:bookmarkStart w:id="147" w:name="_Toc498286827"/>
      <w:bookmarkStart w:id="148" w:name="_Toc501653636"/>
      <w:r>
        <w:rPr>
          <w:rFonts w:ascii="黑体" w:eastAsia="黑体" w:hAnsi="黑体" w:hint="eastAsia"/>
          <w:bCs/>
          <w:kern w:val="2"/>
          <w:sz w:val="21"/>
          <w:szCs w:val="21"/>
        </w:rPr>
        <w:lastRenderedPageBreak/>
        <w:t>附录</w:t>
      </w:r>
      <w:r>
        <w:rPr>
          <w:rFonts w:ascii="黑体" w:eastAsia="黑体" w:hAnsi="黑体"/>
          <w:bCs/>
          <w:kern w:val="2"/>
          <w:sz w:val="21"/>
          <w:szCs w:val="21"/>
        </w:rPr>
        <w:t>A</w:t>
      </w:r>
    </w:p>
    <w:p w:rsidR="00BC7464" w:rsidRDefault="006F561F">
      <w:pPr>
        <w:widowControl w:val="0"/>
        <w:spacing w:after="0" w:line="360" w:lineRule="auto"/>
        <w:jc w:val="center"/>
        <w:outlineLvl w:val="0"/>
        <w:rPr>
          <w:rFonts w:ascii="黑体" w:eastAsia="黑体" w:hAnsi="黑体"/>
          <w:bCs/>
          <w:kern w:val="2"/>
          <w:sz w:val="21"/>
          <w:szCs w:val="21"/>
        </w:rPr>
      </w:pPr>
      <w:r>
        <w:rPr>
          <w:rFonts w:ascii="黑体" w:eastAsia="黑体" w:hAnsi="黑体"/>
          <w:bCs/>
          <w:kern w:val="2"/>
          <w:sz w:val="21"/>
          <w:szCs w:val="21"/>
        </w:rPr>
        <w:t xml:space="preserve"> (</w:t>
      </w:r>
      <w:r>
        <w:rPr>
          <w:rFonts w:ascii="黑体" w:eastAsia="黑体" w:hAnsi="黑体" w:hint="eastAsia"/>
          <w:bCs/>
          <w:kern w:val="2"/>
          <w:sz w:val="21"/>
          <w:szCs w:val="21"/>
        </w:rPr>
        <w:t>资料性附录</w:t>
      </w:r>
      <w:r>
        <w:rPr>
          <w:rFonts w:ascii="黑体" w:eastAsia="黑体" w:hAnsi="黑体"/>
          <w:bCs/>
          <w:kern w:val="2"/>
          <w:sz w:val="21"/>
          <w:szCs w:val="21"/>
        </w:rPr>
        <w:t>)</w:t>
      </w:r>
      <w:bookmarkEnd w:id="147"/>
      <w:bookmarkEnd w:id="148"/>
      <w:r>
        <w:rPr>
          <w:rFonts w:ascii="黑体" w:eastAsia="黑体" w:hAnsi="黑体"/>
          <w:bCs/>
          <w:kern w:val="2"/>
          <w:sz w:val="21"/>
          <w:szCs w:val="21"/>
        </w:rPr>
        <w:t xml:space="preserve"> </w:t>
      </w:r>
    </w:p>
    <w:p w:rsidR="00BC7464" w:rsidRDefault="006F561F">
      <w:pPr>
        <w:widowControl w:val="0"/>
        <w:spacing w:after="0" w:line="360" w:lineRule="auto"/>
        <w:jc w:val="center"/>
        <w:rPr>
          <w:rFonts w:ascii="黑体" w:eastAsia="黑体" w:hAnsi="黑体" w:cs="Times New Roman"/>
          <w:kern w:val="2"/>
          <w:sz w:val="21"/>
          <w:szCs w:val="21"/>
        </w:rPr>
      </w:pPr>
      <w:r>
        <w:rPr>
          <w:rFonts w:ascii="黑体" w:eastAsia="黑体" w:hAnsi="黑体" w:cs="Times New Roman" w:hint="eastAsia"/>
          <w:kern w:val="2"/>
          <w:sz w:val="21"/>
          <w:szCs w:val="21"/>
        </w:rPr>
        <w:t>长江流域  绿色食品夏大豆生产主要病虫草害化学防治方案</w:t>
      </w:r>
    </w:p>
    <w:tbl>
      <w:tblPr>
        <w:tblW w:w="9464" w:type="dxa"/>
        <w:tblLayout w:type="fixed"/>
        <w:tblLook w:val="04A0"/>
      </w:tblPr>
      <w:tblGrid>
        <w:gridCol w:w="1152"/>
        <w:gridCol w:w="1508"/>
        <w:gridCol w:w="2410"/>
        <w:gridCol w:w="2268"/>
        <w:gridCol w:w="958"/>
        <w:gridCol w:w="1168"/>
      </w:tblGrid>
      <w:tr w:rsidR="00BC7464">
        <w:trPr>
          <w:trHeight w:val="647"/>
        </w:trPr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防治对象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防治时期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农药名称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使用剂量</w:t>
            </w:r>
          </w:p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ml(g)/亩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施药方法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安全间隔期天数</w:t>
            </w:r>
          </w:p>
        </w:tc>
      </w:tr>
      <w:tr w:rsidR="00BC7464">
        <w:trPr>
          <w:trHeight w:val="285"/>
        </w:trPr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大豆锈病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苗期至鼓粒期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25% 嘧菌酯悬浮剂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40 ml～60 ml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14</w:t>
            </w:r>
          </w:p>
        </w:tc>
      </w:tr>
      <w:tr w:rsidR="00BC7464">
        <w:trPr>
          <w:trHeight w:val="300"/>
        </w:trPr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大豆根腐病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拌种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2.5% 咯菌腈可湿性粉剂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600ml～800ml/100kg种子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拌种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C7464">
        <w:trPr>
          <w:trHeight w:val="300"/>
        </w:trPr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35% 精甲霜灵乳剂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40g～80g/100kg种子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拌种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C7464">
        <w:trPr>
          <w:trHeight w:val="285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大豆霜霉病</w:t>
            </w:r>
          </w:p>
        </w:tc>
        <w:tc>
          <w:tcPr>
            <w:tcW w:w="1508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发病初期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25% 吡唑醚菌酯乳油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30ml～40ml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21</w:t>
            </w:r>
          </w:p>
        </w:tc>
      </w:tr>
      <w:tr w:rsidR="00BC7464">
        <w:trPr>
          <w:trHeight w:val="285"/>
        </w:trPr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黑潜蝇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苗期至开花期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20% 氯虫苯甲酰胺悬浮剂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 ml～12 ml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</w:tr>
      <w:tr w:rsidR="00BC7464">
        <w:trPr>
          <w:trHeight w:val="300"/>
        </w:trPr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BC7464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C7464">
        <w:trPr>
          <w:trHeight w:val="285"/>
        </w:trPr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豆荚螟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苗期至鼓粒期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20% 氯虫苯甲酰胺悬浮剂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 ml～12 ml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</w:tr>
      <w:tr w:rsidR="00BC7464">
        <w:trPr>
          <w:trHeight w:val="285"/>
        </w:trPr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97090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天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蛾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苗期至鼓粒期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5C155F" w:rsidP="00697090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C155F">
              <w:rPr>
                <w:rFonts w:ascii="宋体" w:hAnsi="宋体" w:cs="宋体"/>
                <w:sz w:val="18"/>
                <w:szCs w:val="18"/>
              </w:rPr>
              <w:t>16000IU/毫克</w:t>
            </w:r>
            <w:r w:rsidRPr="005C155F">
              <w:rPr>
                <w:rFonts w:ascii="宋体" w:hAnsi="宋体" w:cs="宋体" w:hint="eastAsia"/>
                <w:sz w:val="18"/>
                <w:szCs w:val="18"/>
              </w:rPr>
              <w:t>苏云金杆菌可湿性粉剂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97090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100 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ml～1</w:t>
            </w: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0 ml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15</w:t>
            </w:r>
          </w:p>
        </w:tc>
      </w:tr>
      <w:tr w:rsidR="00BC7464">
        <w:trPr>
          <w:trHeight w:val="300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苗前草害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播种后出苗前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AE6B31" w:rsidP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960克/升精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异丙甲草胺乳油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AE6B31" w:rsidP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60ml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～</w:t>
            </w:r>
            <w:r>
              <w:rPr>
                <w:rFonts w:ascii="宋体" w:hAnsi="宋体" w:cs="宋体" w:hint="eastAsia"/>
                <w:sz w:val="18"/>
                <w:szCs w:val="18"/>
              </w:rPr>
              <w:t>9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0ml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土壤</w:t>
            </w:r>
            <w:r w:rsidR="006F561F">
              <w:rPr>
                <w:rFonts w:ascii="宋体"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/</w:t>
            </w:r>
          </w:p>
        </w:tc>
      </w:tr>
      <w:tr w:rsidR="00BC7464">
        <w:trPr>
          <w:trHeight w:val="525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苗后草害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 w:rsidP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杂草</w:t>
            </w:r>
            <w:r w:rsidR="00AE6B31"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～5叶期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5C155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C155F">
              <w:rPr>
                <w:rFonts w:ascii="宋体" w:hAnsi="宋体" w:cs="宋体"/>
                <w:sz w:val="18"/>
                <w:szCs w:val="18"/>
              </w:rPr>
              <w:t>24%</w:t>
            </w:r>
            <w:r w:rsidRPr="005C155F">
              <w:rPr>
                <w:rFonts w:ascii="宋体" w:hAnsi="宋体" w:cs="宋体" w:hint="eastAsia"/>
                <w:sz w:val="18"/>
                <w:szCs w:val="18"/>
              </w:rPr>
              <w:t>烯草酮乳油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5C155F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C155F">
              <w:rPr>
                <w:rFonts w:ascii="宋体" w:hAnsi="宋体" w:cs="宋体"/>
                <w:sz w:val="18"/>
                <w:szCs w:val="18"/>
              </w:rPr>
              <w:t>20-25ml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5C155F" w:rsidP="00496B26">
            <w:pPr>
              <w:spacing w:after="0" w:line="240" w:lineRule="auto"/>
              <w:ind w:left="5500"/>
              <w:rPr>
                <w:rFonts w:ascii="宋体" w:hAnsi="宋体" w:cs="宋体"/>
                <w:sz w:val="18"/>
                <w:szCs w:val="18"/>
              </w:rPr>
            </w:pPr>
            <w:r w:rsidRPr="005C155F">
              <w:rPr>
                <w:rFonts w:ascii="宋体" w:hAnsi="宋体" w:cs="宋体" w:hint="eastAsia"/>
                <w:sz w:val="18"/>
                <w:szCs w:val="18"/>
              </w:rPr>
              <w:t>茎叶喷雾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AE6B31"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/</w:t>
            </w:r>
          </w:p>
        </w:tc>
      </w:tr>
      <w:tr w:rsidR="00BC7464">
        <w:trPr>
          <w:trHeight w:val="525"/>
        </w:trPr>
        <w:tc>
          <w:tcPr>
            <w:tcW w:w="946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464" w:rsidRDefault="006F561F">
            <w:pPr>
              <w:spacing w:after="0" w:line="24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注：</w:t>
            </w:r>
            <w:r>
              <w:rPr>
                <w:rFonts w:ascii="宋体" w:hAnsi="宋体" w:cs="宋体" w:hint="eastAsia"/>
                <w:sz w:val="18"/>
                <w:szCs w:val="18"/>
              </w:rPr>
              <w:t>农药使用以最新版本NY/T 393的规定为准。</w:t>
            </w:r>
          </w:p>
        </w:tc>
      </w:tr>
    </w:tbl>
    <w:p w:rsidR="00BC7464" w:rsidRDefault="00BC7464" w:rsidP="00FA734E">
      <w:pPr>
        <w:spacing w:line="360" w:lineRule="auto"/>
        <w:rPr>
          <w:rFonts w:ascii="仿宋" w:eastAsia="仿宋" w:hAnsi="仿宋" w:cs="仿宋"/>
          <w:sz w:val="24"/>
          <w:szCs w:val="24"/>
        </w:rPr>
      </w:pPr>
      <w:bookmarkStart w:id="149" w:name="_GoBack"/>
      <w:bookmarkEnd w:id="149"/>
    </w:p>
    <w:sectPr w:rsidR="00BC7464" w:rsidSect="00BC7464">
      <w:pgSz w:w="11906" w:h="16838"/>
      <w:pgMar w:top="1361" w:right="1134" w:bottom="147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FA6" w:rsidRDefault="008A7FA6" w:rsidP="00BC7464">
      <w:pPr>
        <w:spacing w:after="0" w:line="240" w:lineRule="auto"/>
      </w:pPr>
      <w:r>
        <w:separator/>
      </w:r>
    </w:p>
  </w:endnote>
  <w:endnote w:type="continuationSeparator" w:id="1">
    <w:p w:rsidR="008A7FA6" w:rsidRDefault="008A7FA6" w:rsidP="00BC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64" w:rsidRDefault="00BC746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FA6" w:rsidRDefault="008A7FA6" w:rsidP="00BC7464">
      <w:pPr>
        <w:spacing w:after="0" w:line="240" w:lineRule="auto"/>
      </w:pPr>
      <w:r>
        <w:separator/>
      </w:r>
    </w:p>
  </w:footnote>
  <w:footnote w:type="continuationSeparator" w:id="1">
    <w:p w:rsidR="008A7FA6" w:rsidRDefault="008A7FA6" w:rsidP="00BC7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64" w:rsidRDefault="00BC7464">
    <w:pPr>
      <w:snapToGrid w:val="0"/>
      <w:jc w:val="right"/>
      <w:rPr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315B1A42"/>
    <w:multiLevelType w:val="multilevel"/>
    <w:tmpl w:val="315B1A42"/>
    <w:lvl w:ilvl="0">
      <w:start w:val="1"/>
      <w:numFmt w:val="decimal"/>
      <w:pStyle w:val="a0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obe bryant">
    <w15:presenceInfo w15:providerId="WPS Office" w15:userId="9469872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oNotTrackMoves/>
  <w:defaultTabStop w:val="420"/>
  <w:drawingGridHorizontalSpacing w:val="11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BEC"/>
    <w:rsid w:val="001F5891"/>
    <w:rsid w:val="0020475D"/>
    <w:rsid w:val="002420AC"/>
    <w:rsid w:val="00277CEE"/>
    <w:rsid w:val="00350A83"/>
    <w:rsid w:val="003803E4"/>
    <w:rsid w:val="003947CC"/>
    <w:rsid w:val="00395000"/>
    <w:rsid w:val="003D4664"/>
    <w:rsid w:val="00462B11"/>
    <w:rsid w:val="00496B26"/>
    <w:rsid w:val="005C155F"/>
    <w:rsid w:val="00697090"/>
    <w:rsid w:val="006F561F"/>
    <w:rsid w:val="007E487D"/>
    <w:rsid w:val="00864440"/>
    <w:rsid w:val="0088631B"/>
    <w:rsid w:val="008A7FA6"/>
    <w:rsid w:val="008D0E6E"/>
    <w:rsid w:val="00964CCE"/>
    <w:rsid w:val="009E7E75"/>
    <w:rsid w:val="00A6727B"/>
    <w:rsid w:val="00AA662A"/>
    <w:rsid w:val="00AE6B31"/>
    <w:rsid w:val="00B506E6"/>
    <w:rsid w:val="00B8474E"/>
    <w:rsid w:val="00BC7464"/>
    <w:rsid w:val="00CE5FC7"/>
    <w:rsid w:val="00CE6898"/>
    <w:rsid w:val="00D33930"/>
    <w:rsid w:val="00F0207F"/>
    <w:rsid w:val="00F14491"/>
    <w:rsid w:val="00F74BEC"/>
    <w:rsid w:val="00FA734E"/>
    <w:rsid w:val="10FC12DE"/>
    <w:rsid w:val="23A262CA"/>
    <w:rsid w:val="2B364DA2"/>
    <w:rsid w:val="2F836AB2"/>
    <w:rsid w:val="342F2CBD"/>
    <w:rsid w:val="35FD6FF7"/>
    <w:rsid w:val="3A037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3" type="connector" idref="#直接箭头连接符 12"/>
        <o:r id="V:Rule4" type="connector" idref="#直接箭头连接符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caption" w:semiHidden="0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nhideWhenUsed="0" w:qFormat="1"/>
    <w:lsdException w:name="Body Text Indent 2" w:semiHidden="0" w:uiPriority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C7464"/>
    <w:pPr>
      <w:spacing w:after="200" w:line="276" w:lineRule="auto"/>
    </w:pPr>
    <w:rPr>
      <w:rFonts w:ascii="Calibri" w:hAnsi="Calibri" w:cs="黑体"/>
      <w:sz w:val="22"/>
      <w:szCs w:val="22"/>
    </w:rPr>
  </w:style>
  <w:style w:type="paragraph" w:styleId="1">
    <w:name w:val="heading 1"/>
    <w:basedOn w:val="a1"/>
    <w:next w:val="a1"/>
    <w:link w:val="1Char"/>
    <w:uiPriority w:val="9"/>
    <w:qFormat/>
    <w:rsid w:val="00BC7464"/>
    <w:pPr>
      <w:keepNext/>
      <w:keepLines/>
      <w:spacing w:before="480" w:after="0"/>
      <w:outlineLvl w:val="0"/>
    </w:pPr>
    <w:rPr>
      <w:rFonts w:ascii="Cambria" w:hAnsi="Cambria"/>
      <w:b/>
      <w:bCs/>
      <w:color w:val="365F90"/>
      <w:sz w:val="28"/>
      <w:szCs w:val="28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BC746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BC746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BC746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BC7464"/>
    <w:pPr>
      <w:keepNext/>
      <w:keepLines/>
      <w:spacing w:before="200" w:after="0"/>
      <w:outlineLvl w:val="4"/>
    </w:pPr>
    <w:rPr>
      <w:rFonts w:ascii="Cambria" w:hAnsi="Cambria"/>
      <w:color w:val="244061"/>
    </w:rPr>
  </w:style>
  <w:style w:type="paragraph" w:styleId="6">
    <w:name w:val="heading 6"/>
    <w:basedOn w:val="a1"/>
    <w:next w:val="a1"/>
    <w:link w:val="6Char"/>
    <w:uiPriority w:val="9"/>
    <w:unhideWhenUsed/>
    <w:qFormat/>
    <w:rsid w:val="00BC7464"/>
    <w:pPr>
      <w:keepNext/>
      <w:keepLines/>
      <w:spacing w:before="200" w:after="0"/>
      <w:outlineLvl w:val="5"/>
    </w:pPr>
    <w:rPr>
      <w:rFonts w:ascii="Cambria" w:hAnsi="Cambria"/>
      <w:i/>
      <w:iCs/>
      <w:color w:val="244061"/>
    </w:rPr>
  </w:style>
  <w:style w:type="paragraph" w:styleId="7">
    <w:name w:val="heading 7"/>
    <w:basedOn w:val="a1"/>
    <w:next w:val="a1"/>
    <w:link w:val="7Char"/>
    <w:uiPriority w:val="9"/>
    <w:unhideWhenUsed/>
    <w:qFormat/>
    <w:rsid w:val="00BC7464"/>
    <w:pPr>
      <w:keepNext/>
      <w:keepLines/>
      <w:spacing w:before="200" w:after="0"/>
      <w:outlineLvl w:val="6"/>
    </w:pPr>
    <w:rPr>
      <w:rFonts w:ascii="Cambria" w:hAnsi="Cambria"/>
      <w:i/>
      <w:iCs/>
      <w:color w:val="3F3F3F"/>
    </w:rPr>
  </w:style>
  <w:style w:type="paragraph" w:styleId="8">
    <w:name w:val="heading 8"/>
    <w:basedOn w:val="a1"/>
    <w:next w:val="a1"/>
    <w:link w:val="8Char"/>
    <w:uiPriority w:val="9"/>
    <w:unhideWhenUsed/>
    <w:qFormat/>
    <w:rsid w:val="00BC7464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1"/>
    <w:next w:val="a1"/>
    <w:link w:val="9Char"/>
    <w:uiPriority w:val="9"/>
    <w:unhideWhenUsed/>
    <w:qFormat/>
    <w:rsid w:val="00BC7464"/>
    <w:pPr>
      <w:keepNext/>
      <w:keepLines/>
      <w:spacing w:before="200" w:after="0"/>
      <w:outlineLvl w:val="8"/>
    </w:pPr>
    <w:rPr>
      <w:rFonts w:ascii="Cambria" w:hAnsi="Cambria"/>
      <w:i/>
      <w:iCs/>
      <w:color w:val="3F3F3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aption"/>
    <w:basedOn w:val="a1"/>
    <w:next w:val="a1"/>
    <w:uiPriority w:val="35"/>
    <w:unhideWhenUsed/>
    <w:qFormat/>
    <w:rsid w:val="00BC7464"/>
    <w:pPr>
      <w:spacing w:line="240" w:lineRule="auto"/>
    </w:pPr>
    <w:rPr>
      <w:b/>
      <w:bCs/>
      <w:color w:val="4F81BD"/>
      <w:sz w:val="18"/>
      <w:szCs w:val="18"/>
    </w:rPr>
  </w:style>
  <w:style w:type="paragraph" w:styleId="a6">
    <w:name w:val="annotation text"/>
    <w:basedOn w:val="a1"/>
    <w:link w:val="Char"/>
    <w:qFormat/>
    <w:rsid w:val="00BC7464"/>
  </w:style>
  <w:style w:type="paragraph" w:styleId="30">
    <w:name w:val="toc 3"/>
    <w:basedOn w:val="a1"/>
    <w:next w:val="a1"/>
    <w:uiPriority w:val="39"/>
    <w:qFormat/>
    <w:rsid w:val="00BC7464"/>
    <w:pPr>
      <w:ind w:leftChars="400" w:left="840"/>
    </w:pPr>
    <w:rPr>
      <w:szCs w:val="20"/>
    </w:rPr>
  </w:style>
  <w:style w:type="paragraph" w:styleId="a7">
    <w:name w:val="Date"/>
    <w:basedOn w:val="a1"/>
    <w:next w:val="a1"/>
    <w:link w:val="Char0"/>
    <w:uiPriority w:val="99"/>
    <w:qFormat/>
    <w:rsid w:val="00BC7464"/>
    <w:pPr>
      <w:ind w:leftChars="2500" w:left="100"/>
    </w:pPr>
  </w:style>
  <w:style w:type="paragraph" w:styleId="20">
    <w:name w:val="Body Text Indent 2"/>
    <w:basedOn w:val="a1"/>
    <w:link w:val="2Char0"/>
    <w:qFormat/>
    <w:rsid w:val="00BC7464"/>
    <w:pPr>
      <w:spacing w:line="288" w:lineRule="auto"/>
      <w:ind w:firstLine="435"/>
    </w:pPr>
    <w:rPr>
      <w:rFonts w:ascii="Times New Roman" w:hAnsi="Times New Roman" w:cs="Times New Roman"/>
      <w:kern w:val="2"/>
      <w:sz w:val="21"/>
      <w:szCs w:val="24"/>
      <w:lang/>
    </w:rPr>
  </w:style>
  <w:style w:type="paragraph" w:styleId="a8">
    <w:name w:val="Balloon Text"/>
    <w:basedOn w:val="a1"/>
    <w:link w:val="Char1"/>
    <w:uiPriority w:val="99"/>
    <w:qFormat/>
    <w:rsid w:val="00BC7464"/>
    <w:rPr>
      <w:sz w:val="18"/>
      <w:szCs w:val="18"/>
    </w:rPr>
  </w:style>
  <w:style w:type="paragraph" w:styleId="a9">
    <w:name w:val="footer"/>
    <w:basedOn w:val="a1"/>
    <w:link w:val="Char2"/>
    <w:uiPriority w:val="99"/>
    <w:qFormat/>
    <w:rsid w:val="00BC74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1"/>
    <w:link w:val="Char3"/>
    <w:uiPriority w:val="99"/>
    <w:qFormat/>
    <w:rsid w:val="00BC7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1"/>
    <w:next w:val="a1"/>
    <w:uiPriority w:val="39"/>
    <w:qFormat/>
    <w:rsid w:val="00BC7464"/>
    <w:rPr>
      <w:szCs w:val="20"/>
    </w:rPr>
  </w:style>
  <w:style w:type="paragraph" w:styleId="ab">
    <w:name w:val="Subtitle"/>
    <w:basedOn w:val="a1"/>
    <w:next w:val="a1"/>
    <w:link w:val="Char4"/>
    <w:uiPriority w:val="11"/>
    <w:qFormat/>
    <w:rsid w:val="00BC7464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1">
    <w:name w:val="toc 2"/>
    <w:basedOn w:val="a1"/>
    <w:next w:val="a1"/>
    <w:uiPriority w:val="39"/>
    <w:qFormat/>
    <w:rsid w:val="00BC7464"/>
    <w:pPr>
      <w:ind w:leftChars="200" w:left="420"/>
    </w:pPr>
    <w:rPr>
      <w:szCs w:val="20"/>
    </w:rPr>
  </w:style>
  <w:style w:type="paragraph" w:styleId="ac">
    <w:name w:val="Normal (Web)"/>
    <w:basedOn w:val="a1"/>
    <w:uiPriority w:val="99"/>
    <w:unhideWhenUsed/>
    <w:qFormat/>
    <w:rsid w:val="00BC7464"/>
    <w:pPr>
      <w:spacing w:beforeAutospacing="1" w:afterAutospacing="1"/>
    </w:pPr>
    <w:rPr>
      <w:sz w:val="24"/>
    </w:rPr>
  </w:style>
  <w:style w:type="paragraph" w:styleId="ad">
    <w:name w:val="Title"/>
    <w:basedOn w:val="a1"/>
    <w:next w:val="a1"/>
    <w:link w:val="Char5"/>
    <w:uiPriority w:val="10"/>
    <w:qFormat/>
    <w:rsid w:val="00BC746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6365C"/>
      <w:spacing w:val="5"/>
      <w:sz w:val="52"/>
      <w:szCs w:val="52"/>
    </w:rPr>
  </w:style>
  <w:style w:type="paragraph" w:styleId="ae">
    <w:name w:val="annotation subject"/>
    <w:basedOn w:val="a6"/>
    <w:next w:val="a6"/>
    <w:link w:val="Char6"/>
    <w:uiPriority w:val="99"/>
    <w:qFormat/>
    <w:rsid w:val="00BC7464"/>
    <w:rPr>
      <w:b/>
      <w:bCs/>
    </w:rPr>
  </w:style>
  <w:style w:type="character" w:styleId="af">
    <w:name w:val="Strong"/>
    <w:basedOn w:val="a2"/>
    <w:uiPriority w:val="22"/>
    <w:qFormat/>
    <w:rsid w:val="00BC7464"/>
    <w:rPr>
      <w:b/>
      <w:bCs/>
    </w:rPr>
  </w:style>
  <w:style w:type="character" w:styleId="af0">
    <w:name w:val="page number"/>
    <w:basedOn w:val="a2"/>
    <w:qFormat/>
    <w:rsid w:val="00BC7464"/>
  </w:style>
  <w:style w:type="character" w:styleId="af1">
    <w:name w:val="Emphasis"/>
    <w:basedOn w:val="a2"/>
    <w:uiPriority w:val="20"/>
    <w:qFormat/>
    <w:rsid w:val="00BC7464"/>
    <w:rPr>
      <w:i/>
      <w:iCs/>
    </w:rPr>
  </w:style>
  <w:style w:type="character" w:styleId="af2">
    <w:name w:val="Hyperlink"/>
    <w:basedOn w:val="a2"/>
    <w:uiPriority w:val="99"/>
    <w:qFormat/>
    <w:rsid w:val="00BC7464"/>
    <w:rPr>
      <w:color w:val="0563C1"/>
      <w:u w:val="single"/>
    </w:rPr>
  </w:style>
  <w:style w:type="character" w:styleId="af3">
    <w:name w:val="annotation reference"/>
    <w:qFormat/>
    <w:rsid w:val="00BC7464"/>
    <w:rPr>
      <w:sz w:val="21"/>
      <w:szCs w:val="21"/>
    </w:rPr>
  </w:style>
  <w:style w:type="paragraph" w:customStyle="1" w:styleId="af4">
    <w:name w:val="目次、标准名称标题"/>
    <w:basedOn w:val="a0"/>
    <w:next w:val="af5"/>
    <w:qFormat/>
    <w:rsid w:val="00BC7464"/>
    <w:pPr>
      <w:numPr>
        <w:numId w:val="0"/>
      </w:numPr>
      <w:spacing w:line="460" w:lineRule="exact"/>
    </w:pPr>
  </w:style>
  <w:style w:type="paragraph" w:customStyle="1" w:styleId="a0">
    <w:name w:val="前言、引言标题"/>
    <w:next w:val="a1"/>
    <w:qFormat/>
    <w:rsid w:val="00BC7464"/>
    <w:pPr>
      <w:numPr>
        <w:numId w:val="1"/>
      </w:numPr>
      <w:shd w:val="clear" w:color="FFFFFF" w:fill="FFFFFF"/>
      <w:spacing w:before="640" w:after="560" w:line="276" w:lineRule="auto"/>
      <w:jc w:val="center"/>
      <w:outlineLvl w:val="0"/>
    </w:pPr>
    <w:rPr>
      <w:rFonts w:ascii="黑体" w:eastAsia="黑体"/>
      <w:sz w:val="32"/>
      <w:szCs w:val="22"/>
    </w:rPr>
  </w:style>
  <w:style w:type="paragraph" w:customStyle="1" w:styleId="af5">
    <w:name w:val="段"/>
    <w:qFormat/>
    <w:rsid w:val="00BC7464"/>
    <w:pPr>
      <w:autoSpaceDE w:val="0"/>
      <w:autoSpaceDN w:val="0"/>
      <w:spacing w:after="200" w:line="276" w:lineRule="auto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11">
    <w:name w:val="封面标准号1"/>
    <w:qFormat/>
    <w:rsid w:val="00BC7464"/>
    <w:pPr>
      <w:widowControl w:val="0"/>
      <w:kinsoku w:val="0"/>
      <w:overflowPunct w:val="0"/>
      <w:autoSpaceDE w:val="0"/>
      <w:autoSpaceDN w:val="0"/>
      <w:spacing w:before="308" w:after="200" w:line="276" w:lineRule="auto"/>
      <w:jc w:val="right"/>
      <w:textAlignment w:val="center"/>
    </w:pPr>
    <w:rPr>
      <w:sz w:val="28"/>
      <w:szCs w:val="22"/>
    </w:rPr>
  </w:style>
  <w:style w:type="paragraph" w:customStyle="1" w:styleId="af6">
    <w:name w:val="标准书脚_奇数页"/>
    <w:qFormat/>
    <w:rsid w:val="00BC7464"/>
    <w:pPr>
      <w:spacing w:before="120" w:after="200" w:line="276" w:lineRule="auto"/>
      <w:jc w:val="right"/>
    </w:pPr>
    <w:rPr>
      <w:sz w:val="18"/>
      <w:szCs w:val="22"/>
    </w:rPr>
  </w:style>
  <w:style w:type="paragraph" w:customStyle="1" w:styleId="af7">
    <w:name w:val="封面正文"/>
    <w:qFormat/>
    <w:rsid w:val="00BC7464"/>
    <w:pPr>
      <w:spacing w:after="200" w:line="276" w:lineRule="auto"/>
      <w:jc w:val="both"/>
    </w:pPr>
    <w:rPr>
      <w:sz w:val="22"/>
      <w:szCs w:val="22"/>
    </w:rPr>
  </w:style>
  <w:style w:type="paragraph" w:customStyle="1" w:styleId="af8">
    <w:name w:val="发布日期"/>
    <w:qFormat/>
    <w:rsid w:val="00BC7464"/>
    <w:pPr>
      <w:spacing w:after="200" w:line="276" w:lineRule="auto"/>
    </w:pPr>
    <w:rPr>
      <w:rFonts w:eastAsia="黑体"/>
      <w:sz w:val="28"/>
      <w:szCs w:val="22"/>
    </w:rPr>
  </w:style>
  <w:style w:type="paragraph" w:customStyle="1" w:styleId="af9">
    <w:name w:val="封面标准英文名称"/>
    <w:qFormat/>
    <w:rsid w:val="00BC7464"/>
    <w:pPr>
      <w:widowControl w:val="0"/>
      <w:spacing w:before="370" w:after="200" w:line="400" w:lineRule="exact"/>
      <w:jc w:val="center"/>
    </w:pPr>
    <w:rPr>
      <w:sz w:val="28"/>
      <w:szCs w:val="22"/>
    </w:rPr>
  </w:style>
  <w:style w:type="paragraph" w:customStyle="1" w:styleId="afa">
    <w:name w:val="文献分类号"/>
    <w:qFormat/>
    <w:rsid w:val="00BC7464"/>
    <w:pPr>
      <w:widowControl w:val="0"/>
      <w:spacing w:after="200" w:line="276" w:lineRule="auto"/>
      <w:textAlignment w:val="center"/>
    </w:pPr>
    <w:rPr>
      <w:rFonts w:eastAsia="黑体"/>
      <w:sz w:val="21"/>
      <w:szCs w:val="22"/>
    </w:rPr>
  </w:style>
  <w:style w:type="paragraph" w:customStyle="1" w:styleId="afb">
    <w:name w:val="标准书脚_偶数页"/>
    <w:qFormat/>
    <w:rsid w:val="00BC7464"/>
    <w:pPr>
      <w:spacing w:before="120" w:after="200" w:line="276" w:lineRule="auto"/>
    </w:pPr>
    <w:rPr>
      <w:sz w:val="18"/>
      <w:szCs w:val="22"/>
    </w:rPr>
  </w:style>
  <w:style w:type="paragraph" w:customStyle="1" w:styleId="afc">
    <w:name w:val="标准标志"/>
    <w:next w:val="a1"/>
    <w:qFormat/>
    <w:rsid w:val="00BC7464"/>
    <w:pPr>
      <w:shd w:val="solid" w:color="FFFFFF" w:fill="FFFFFF"/>
      <w:spacing w:after="200" w:line="0" w:lineRule="atLeast"/>
      <w:jc w:val="right"/>
    </w:pPr>
    <w:rPr>
      <w:b/>
      <w:w w:val="130"/>
      <w:sz w:val="96"/>
      <w:szCs w:val="22"/>
    </w:rPr>
  </w:style>
  <w:style w:type="paragraph" w:customStyle="1" w:styleId="12">
    <w:name w:val="列出段落1"/>
    <w:basedOn w:val="a1"/>
    <w:qFormat/>
    <w:rsid w:val="00BC7464"/>
    <w:pPr>
      <w:ind w:firstLineChars="200" w:firstLine="420"/>
    </w:pPr>
    <w:rPr>
      <w:szCs w:val="21"/>
    </w:rPr>
  </w:style>
  <w:style w:type="paragraph" w:customStyle="1" w:styleId="afd">
    <w:name w:val="实施日期"/>
    <w:basedOn w:val="af8"/>
    <w:qFormat/>
    <w:rsid w:val="00BC7464"/>
    <w:pPr>
      <w:jc w:val="right"/>
    </w:pPr>
  </w:style>
  <w:style w:type="paragraph" w:customStyle="1" w:styleId="afe">
    <w:name w:val="其他发布部门"/>
    <w:basedOn w:val="a1"/>
    <w:qFormat/>
    <w:rsid w:val="00BC7464"/>
    <w:pPr>
      <w:spacing w:line="0" w:lineRule="atLeast"/>
      <w:jc w:val="center"/>
    </w:pPr>
    <w:rPr>
      <w:rFonts w:ascii="黑体" w:eastAsia="黑体"/>
      <w:spacing w:val="20"/>
      <w:w w:val="135"/>
      <w:sz w:val="36"/>
      <w:szCs w:val="20"/>
    </w:rPr>
  </w:style>
  <w:style w:type="paragraph" w:customStyle="1" w:styleId="aff">
    <w:name w:val="其他标准称谓"/>
    <w:qFormat/>
    <w:rsid w:val="00BC7464"/>
    <w:pPr>
      <w:spacing w:after="200" w:line="0" w:lineRule="atLeast"/>
      <w:jc w:val="distribute"/>
    </w:pPr>
    <w:rPr>
      <w:rFonts w:ascii="黑体" w:eastAsia="黑体" w:hAnsi="宋体"/>
      <w:sz w:val="52"/>
      <w:szCs w:val="22"/>
    </w:rPr>
  </w:style>
  <w:style w:type="paragraph" w:customStyle="1" w:styleId="aff0">
    <w:name w:val="标准书眉_偶数页"/>
    <w:basedOn w:val="aff1"/>
    <w:next w:val="a1"/>
    <w:qFormat/>
    <w:rsid w:val="00BC7464"/>
    <w:pPr>
      <w:jc w:val="left"/>
    </w:pPr>
  </w:style>
  <w:style w:type="paragraph" w:customStyle="1" w:styleId="aff1">
    <w:name w:val="标准书眉_奇数页"/>
    <w:next w:val="a1"/>
    <w:qFormat/>
    <w:rsid w:val="00BC7464"/>
    <w:pPr>
      <w:tabs>
        <w:tab w:val="center" w:pos="4154"/>
        <w:tab w:val="right" w:pos="8306"/>
      </w:tabs>
      <w:spacing w:after="120" w:line="276" w:lineRule="auto"/>
      <w:jc w:val="right"/>
    </w:pPr>
    <w:rPr>
      <w:sz w:val="21"/>
      <w:szCs w:val="22"/>
    </w:rPr>
  </w:style>
  <w:style w:type="paragraph" w:customStyle="1" w:styleId="aff2">
    <w:name w:val="封面标准文稿编辑信息"/>
    <w:qFormat/>
    <w:rsid w:val="00BC7464"/>
    <w:pPr>
      <w:spacing w:before="180" w:after="200" w:line="180" w:lineRule="exact"/>
      <w:jc w:val="center"/>
    </w:pPr>
    <w:rPr>
      <w:rFonts w:ascii="宋体"/>
      <w:sz w:val="21"/>
      <w:szCs w:val="22"/>
    </w:rPr>
  </w:style>
  <w:style w:type="paragraph" w:customStyle="1" w:styleId="aff3">
    <w:name w:val="标准书眉一"/>
    <w:qFormat/>
    <w:rsid w:val="00BC7464"/>
    <w:pPr>
      <w:spacing w:after="200" w:line="276" w:lineRule="auto"/>
      <w:jc w:val="both"/>
    </w:pPr>
    <w:rPr>
      <w:sz w:val="22"/>
      <w:szCs w:val="22"/>
    </w:rPr>
  </w:style>
  <w:style w:type="paragraph" w:customStyle="1" w:styleId="a">
    <w:name w:val="章标题"/>
    <w:next w:val="af5"/>
    <w:qFormat/>
    <w:rsid w:val="00BC7464"/>
    <w:pPr>
      <w:numPr>
        <w:ilvl w:val="1"/>
        <w:numId w:val="2"/>
      </w:numPr>
      <w:spacing w:beforeLines="50" w:afterLines="50" w:line="276" w:lineRule="auto"/>
      <w:jc w:val="both"/>
      <w:outlineLvl w:val="1"/>
    </w:pPr>
    <w:rPr>
      <w:rFonts w:ascii="Calibri" w:eastAsia="黑体" w:hAnsi="Calibri" w:cs="宋体"/>
      <w:b/>
      <w:sz w:val="21"/>
      <w:szCs w:val="22"/>
    </w:rPr>
  </w:style>
  <w:style w:type="paragraph" w:customStyle="1" w:styleId="13">
    <w:name w:val="修订1"/>
    <w:hidden/>
    <w:uiPriority w:val="99"/>
    <w:semiHidden/>
    <w:qFormat/>
    <w:rsid w:val="00BC7464"/>
    <w:pPr>
      <w:spacing w:after="200" w:line="276" w:lineRule="auto"/>
    </w:pPr>
    <w:rPr>
      <w:kern w:val="2"/>
      <w:sz w:val="21"/>
      <w:szCs w:val="24"/>
    </w:rPr>
  </w:style>
  <w:style w:type="paragraph" w:customStyle="1" w:styleId="14">
    <w:name w:val="正文1"/>
    <w:qFormat/>
    <w:rsid w:val="00BC7464"/>
    <w:pPr>
      <w:spacing w:after="200" w:line="276" w:lineRule="auto"/>
      <w:jc w:val="both"/>
    </w:pPr>
    <w:rPr>
      <w:kern w:val="2"/>
      <w:sz w:val="21"/>
      <w:szCs w:val="21"/>
    </w:rPr>
  </w:style>
  <w:style w:type="paragraph" w:customStyle="1" w:styleId="15">
    <w:name w:val="无间隔1"/>
    <w:uiPriority w:val="1"/>
    <w:qFormat/>
    <w:rsid w:val="00BC7464"/>
    <w:rPr>
      <w:rFonts w:ascii="Calibri" w:hAnsi="Calibri" w:cs="黑体"/>
      <w:sz w:val="22"/>
      <w:szCs w:val="22"/>
    </w:rPr>
  </w:style>
  <w:style w:type="paragraph" w:customStyle="1" w:styleId="16">
    <w:name w:val="引用1"/>
    <w:basedOn w:val="a1"/>
    <w:next w:val="a1"/>
    <w:link w:val="Char7"/>
    <w:uiPriority w:val="29"/>
    <w:qFormat/>
    <w:rsid w:val="00BC7464"/>
    <w:rPr>
      <w:i/>
      <w:iCs/>
      <w:color w:val="000000"/>
    </w:rPr>
  </w:style>
  <w:style w:type="paragraph" w:customStyle="1" w:styleId="17">
    <w:name w:val="明显引用1"/>
    <w:basedOn w:val="a1"/>
    <w:next w:val="a1"/>
    <w:link w:val="Char8"/>
    <w:uiPriority w:val="30"/>
    <w:qFormat/>
    <w:rsid w:val="00BC746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TOC1">
    <w:name w:val="TOC 标题1"/>
    <w:basedOn w:val="1"/>
    <w:next w:val="a1"/>
    <w:uiPriority w:val="39"/>
    <w:unhideWhenUsed/>
    <w:qFormat/>
    <w:rsid w:val="00BC7464"/>
    <w:pPr>
      <w:outlineLvl w:val="9"/>
    </w:pPr>
  </w:style>
  <w:style w:type="paragraph" w:customStyle="1" w:styleId="22">
    <w:name w:val="列出段落2"/>
    <w:basedOn w:val="a1"/>
    <w:uiPriority w:val="99"/>
    <w:unhideWhenUsed/>
    <w:qFormat/>
    <w:rsid w:val="00BC7464"/>
    <w:pPr>
      <w:ind w:firstLineChars="200" w:firstLine="420"/>
    </w:pPr>
  </w:style>
  <w:style w:type="character" w:customStyle="1" w:styleId="Char">
    <w:name w:val="批注文字 Char"/>
    <w:basedOn w:val="a2"/>
    <w:link w:val="a6"/>
    <w:qFormat/>
    <w:rsid w:val="00BC7464"/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basedOn w:val="a2"/>
    <w:link w:val="a8"/>
    <w:uiPriority w:val="99"/>
    <w:qFormat/>
    <w:rsid w:val="00BC7464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2"/>
    <w:link w:val="aa"/>
    <w:uiPriority w:val="99"/>
    <w:qFormat/>
    <w:rsid w:val="00BC7464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BC7464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批注主题 Char"/>
    <w:basedOn w:val="Char"/>
    <w:link w:val="ae"/>
    <w:uiPriority w:val="99"/>
    <w:qFormat/>
    <w:rsid w:val="00BC7464"/>
    <w:rPr>
      <w:rFonts w:ascii="Times New Roman" w:eastAsia="宋体" w:hAnsi="Times New Roman" w:cs="Times New Roman"/>
      <w:b/>
      <w:bCs/>
      <w:szCs w:val="24"/>
    </w:rPr>
  </w:style>
  <w:style w:type="character" w:customStyle="1" w:styleId="2Char0">
    <w:name w:val="正文文本缩进 2 Char"/>
    <w:link w:val="20"/>
    <w:qFormat/>
    <w:rsid w:val="00BC7464"/>
    <w:rPr>
      <w:rFonts w:eastAsia="宋体"/>
      <w:kern w:val="2"/>
      <w:sz w:val="21"/>
      <w:szCs w:val="24"/>
    </w:rPr>
  </w:style>
  <w:style w:type="character" w:customStyle="1" w:styleId="aff4">
    <w:name w:val="发布"/>
    <w:qFormat/>
    <w:rsid w:val="00BC7464"/>
    <w:rPr>
      <w:rFonts w:ascii="黑体" w:eastAsia="黑体"/>
      <w:spacing w:val="22"/>
      <w:w w:val="100"/>
      <w:position w:val="3"/>
      <w:sz w:val="28"/>
    </w:rPr>
  </w:style>
  <w:style w:type="character" w:customStyle="1" w:styleId="2Char1">
    <w:name w:val="正文文本缩进 2 Char1"/>
    <w:basedOn w:val="a2"/>
    <w:uiPriority w:val="99"/>
    <w:qFormat/>
    <w:rsid w:val="00BC7464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0">
    <w:name w:val="日期 Char"/>
    <w:basedOn w:val="a2"/>
    <w:link w:val="a7"/>
    <w:uiPriority w:val="99"/>
    <w:qFormat/>
    <w:rsid w:val="00BC7464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2"/>
    <w:link w:val="1"/>
    <w:uiPriority w:val="9"/>
    <w:qFormat/>
    <w:rsid w:val="00BC7464"/>
    <w:rPr>
      <w:rFonts w:ascii="Cambria" w:eastAsia="宋体" w:hAnsi="Cambria" w:cs="黑体"/>
      <w:b/>
      <w:bCs/>
      <w:color w:val="365F90"/>
      <w:sz w:val="28"/>
      <w:szCs w:val="28"/>
    </w:rPr>
  </w:style>
  <w:style w:type="character" w:customStyle="1" w:styleId="Char5">
    <w:name w:val="标题 Char"/>
    <w:basedOn w:val="a2"/>
    <w:link w:val="ad"/>
    <w:uiPriority w:val="10"/>
    <w:qFormat/>
    <w:rsid w:val="00BC7464"/>
    <w:rPr>
      <w:rFonts w:ascii="Cambria" w:eastAsia="宋体" w:hAnsi="Cambria" w:cs="黑体"/>
      <w:color w:val="16365C"/>
      <w:spacing w:val="5"/>
      <w:sz w:val="52"/>
      <w:szCs w:val="52"/>
    </w:rPr>
  </w:style>
  <w:style w:type="character" w:customStyle="1" w:styleId="2Char">
    <w:name w:val="标题 2 Char"/>
    <w:basedOn w:val="a2"/>
    <w:link w:val="2"/>
    <w:uiPriority w:val="9"/>
    <w:qFormat/>
    <w:rsid w:val="00BC7464"/>
    <w:rPr>
      <w:rFonts w:ascii="Cambria" w:eastAsia="宋体" w:hAnsi="Cambria" w:cs="黑体"/>
      <w:b/>
      <w:bCs/>
      <w:color w:val="4F81BD"/>
      <w:sz w:val="26"/>
      <w:szCs w:val="26"/>
    </w:rPr>
  </w:style>
  <w:style w:type="character" w:customStyle="1" w:styleId="3Char">
    <w:name w:val="标题 3 Char"/>
    <w:basedOn w:val="a2"/>
    <w:link w:val="3"/>
    <w:uiPriority w:val="9"/>
    <w:qFormat/>
    <w:rsid w:val="00BC7464"/>
    <w:rPr>
      <w:rFonts w:ascii="Cambria" w:eastAsia="宋体" w:hAnsi="Cambria" w:cs="黑体"/>
      <w:b/>
      <w:bCs/>
      <w:color w:val="4F81BD"/>
    </w:rPr>
  </w:style>
  <w:style w:type="character" w:customStyle="1" w:styleId="4Char">
    <w:name w:val="标题 4 Char"/>
    <w:basedOn w:val="a2"/>
    <w:link w:val="4"/>
    <w:uiPriority w:val="9"/>
    <w:semiHidden/>
    <w:qFormat/>
    <w:rsid w:val="00BC7464"/>
    <w:rPr>
      <w:rFonts w:ascii="Cambria" w:eastAsia="宋体" w:hAnsi="Cambria" w:cs="黑体"/>
      <w:b/>
      <w:bCs/>
      <w:i/>
      <w:iCs/>
      <w:color w:val="4F81BD"/>
    </w:rPr>
  </w:style>
  <w:style w:type="character" w:customStyle="1" w:styleId="5Char">
    <w:name w:val="标题 5 Char"/>
    <w:basedOn w:val="a2"/>
    <w:link w:val="5"/>
    <w:uiPriority w:val="9"/>
    <w:semiHidden/>
    <w:qFormat/>
    <w:rsid w:val="00BC7464"/>
    <w:rPr>
      <w:rFonts w:ascii="Cambria" w:eastAsia="宋体" w:hAnsi="Cambria" w:cs="黑体"/>
      <w:color w:val="244061"/>
    </w:rPr>
  </w:style>
  <w:style w:type="character" w:customStyle="1" w:styleId="6Char">
    <w:name w:val="标题 6 Char"/>
    <w:basedOn w:val="a2"/>
    <w:link w:val="6"/>
    <w:uiPriority w:val="9"/>
    <w:semiHidden/>
    <w:qFormat/>
    <w:rsid w:val="00BC7464"/>
    <w:rPr>
      <w:rFonts w:ascii="Cambria" w:eastAsia="宋体" w:hAnsi="Cambria" w:cs="黑体"/>
      <w:i/>
      <w:iCs/>
      <w:color w:val="244061"/>
    </w:rPr>
  </w:style>
  <w:style w:type="character" w:customStyle="1" w:styleId="7Char">
    <w:name w:val="标题 7 Char"/>
    <w:basedOn w:val="a2"/>
    <w:link w:val="7"/>
    <w:uiPriority w:val="9"/>
    <w:semiHidden/>
    <w:qFormat/>
    <w:rsid w:val="00BC7464"/>
    <w:rPr>
      <w:rFonts w:ascii="Cambria" w:eastAsia="宋体" w:hAnsi="Cambria" w:cs="黑体"/>
      <w:i/>
      <w:iCs/>
      <w:color w:val="3F3F3F"/>
    </w:rPr>
  </w:style>
  <w:style w:type="character" w:customStyle="1" w:styleId="8Char">
    <w:name w:val="标题 8 Char"/>
    <w:basedOn w:val="a2"/>
    <w:link w:val="8"/>
    <w:uiPriority w:val="9"/>
    <w:semiHidden/>
    <w:qFormat/>
    <w:rsid w:val="00BC7464"/>
    <w:rPr>
      <w:rFonts w:ascii="Cambria" w:eastAsia="宋体" w:hAnsi="Cambria" w:cs="黑体"/>
      <w:color w:val="4F81BD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qFormat/>
    <w:rsid w:val="00BC7464"/>
    <w:rPr>
      <w:rFonts w:ascii="Cambria" w:eastAsia="宋体" w:hAnsi="Cambria" w:cs="黑体"/>
      <w:i/>
      <w:iCs/>
      <w:color w:val="3F3F3F"/>
      <w:sz w:val="20"/>
      <w:szCs w:val="20"/>
    </w:rPr>
  </w:style>
  <w:style w:type="character" w:customStyle="1" w:styleId="Char4">
    <w:name w:val="副标题 Char"/>
    <w:basedOn w:val="a2"/>
    <w:link w:val="ab"/>
    <w:uiPriority w:val="11"/>
    <w:qFormat/>
    <w:rsid w:val="00BC7464"/>
    <w:rPr>
      <w:rFonts w:ascii="Cambria" w:eastAsia="宋体" w:hAnsi="Cambria" w:cs="黑体"/>
      <w:i/>
      <w:iCs/>
      <w:color w:val="4F81BD"/>
      <w:spacing w:val="15"/>
      <w:sz w:val="24"/>
      <w:szCs w:val="24"/>
    </w:rPr>
  </w:style>
  <w:style w:type="character" w:customStyle="1" w:styleId="Char7">
    <w:name w:val="引用 Char"/>
    <w:basedOn w:val="a2"/>
    <w:link w:val="16"/>
    <w:uiPriority w:val="29"/>
    <w:qFormat/>
    <w:rsid w:val="00BC7464"/>
    <w:rPr>
      <w:i/>
      <w:iCs/>
      <w:color w:val="000000"/>
    </w:rPr>
  </w:style>
  <w:style w:type="character" w:customStyle="1" w:styleId="Char8">
    <w:name w:val="明显引用 Char"/>
    <w:basedOn w:val="a2"/>
    <w:link w:val="17"/>
    <w:uiPriority w:val="30"/>
    <w:qFormat/>
    <w:rsid w:val="00BC7464"/>
    <w:rPr>
      <w:b/>
      <w:bCs/>
      <w:i/>
      <w:iCs/>
      <w:color w:val="4F81BD"/>
    </w:rPr>
  </w:style>
  <w:style w:type="character" w:customStyle="1" w:styleId="18">
    <w:name w:val="不明显强调1"/>
    <w:basedOn w:val="a2"/>
    <w:uiPriority w:val="19"/>
    <w:qFormat/>
    <w:rsid w:val="00BC7464"/>
    <w:rPr>
      <w:i/>
      <w:iCs/>
      <w:color w:val="7C7C7C"/>
    </w:rPr>
  </w:style>
  <w:style w:type="character" w:customStyle="1" w:styleId="19">
    <w:name w:val="明显强调1"/>
    <w:basedOn w:val="a2"/>
    <w:uiPriority w:val="21"/>
    <w:qFormat/>
    <w:rsid w:val="00BC7464"/>
    <w:rPr>
      <w:b/>
      <w:bCs/>
      <w:i/>
      <w:iCs/>
      <w:color w:val="4F81BD"/>
    </w:rPr>
  </w:style>
  <w:style w:type="character" w:customStyle="1" w:styleId="1a">
    <w:name w:val="不明显参考1"/>
    <w:basedOn w:val="a2"/>
    <w:uiPriority w:val="31"/>
    <w:qFormat/>
    <w:rsid w:val="00BC7464"/>
    <w:rPr>
      <w:smallCaps/>
      <w:color w:val="C0504D"/>
      <w:u w:val="single"/>
    </w:rPr>
  </w:style>
  <w:style w:type="character" w:customStyle="1" w:styleId="1b">
    <w:name w:val="明显参考1"/>
    <w:basedOn w:val="a2"/>
    <w:uiPriority w:val="32"/>
    <w:qFormat/>
    <w:rsid w:val="00BC7464"/>
    <w:rPr>
      <w:b/>
      <w:bCs/>
      <w:smallCaps/>
      <w:color w:val="C0504D"/>
      <w:spacing w:val="5"/>
      <w:u w:val="single"/>
    </w:rPr>
  </w:style>
  <w:style w:type="character" w:customStyle="1" w:styleId="1c">
    <w:name w:val="书籍标题1"/>
    <w:basedOn w:val="a2"/>
    <w:uiPriority w:val="33"/>
    <w:qFormat/>
    <w:rsid w:val="00BC746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3AEA0F-34B7-484B-90A8-532F79F9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644</Words>
  <Characters>3675</Characters>
  <Application>Microsoft Office Word</Application>
  <DocSecurity>0</DocSecurity>
  <Lines>30</Lines>
  <Paragraphs>8</Paragraphs>
  <ScaleCrop>false</ScaleCrop>
  <Company>AAA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hs</dc:creator>
  <cp:lastModifiedBy>dell</cp:lastModifiedBy>
  <cp:revision>21</cp:revision>
  <cp:lastPrinted>2017-12-21T07:35:00Z</cp:lastPrinted>
  <dcterms:created xsi:type="dcterms:W3CDTF">2017-12-21T13:25:00Z</dcterms:created>
  <dcterms:modified xsi:type="dcterms:W3CDTF">2020-11-04T02:59:00Z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