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6F9" w:rsidRDefault="00A646F9">
      <w:pPr>
        <w:spacing w:beforeLines="50" w:before="156" w:afterLines="50" w:after="156" w:line="400" w:lineRule="atLeast"/>
        <w:contextualSpacing/>
        <w:rPr>
          <w:rFonts w:ascii="宋体" w:eastAsia="宋体" w:hAnsi="宋体" w:cs="宋体"/>
          <w:color w:val="000000" w:themeColor="text1"/>
          <w:sz w:val="28"/>
          <w:szCs w:val="28"/>
        </w:rPr>
      </w:pPr>
    </w:p>
    <w:p w:rsidR="00A646F9" w:rsidRDefault="00A646F9">
      <w:pPr>
        <w:spacing w:beforeLines="50" w:before="156" w:afterLines="50" w:after="156" w:line="400" w:lineRule="atLeast"/>
        <w:ind w:left="357"/>
        <w:contextualSpacing/>
        <w:jc w:val="distribute"/>
        <w:rPr>
          <w:rFonts w:ascii="黑体" w:eastAsia="黑体" w:hAnsi="黑体" w:cs="宋体"/>
          <w:color w:val="000000" w:themeColor="text1"/>
          <w:sz w:val="44"/>
          <w:szCs w:val="44"/>
        </w:rPr>
      </w:pPr>
    </w:p>
    <w:p w:rsidR="00A646F9" w:rsidRDefault="00781025">
      <w:pPr>
        <w:spacing w:beforeLines="50" w:before="156" w:afterLines="50" w:after="156" w:line="400" w:lineRule="atLeast"/>
        <w:ind w:left="357"/>
        <w:contextualSpacing/>
        <w:jc w:val="distribute"/>
        <w:rPr>
          <w:rFonts w:ascii="黑体" w:eastAsia="黑体" w:hAnsi="黑体" w:cs="宋体"/>
          <w:color w:val="000000" w:themeColor="text1"/>
          <w:sz w:val="48"/>
          <w:szCs w:val="48"/>
        </w:rPr>
      </w:pPr>
      <w:r>
        <w:rPr>
          <w:rFonts w:ascii="黑体" w:eastAsia="黑体" w:hAnsi="黑体" w:cs="宋体" w:hint="eastAsia"/>
          <w:color w:val="000000" w:themeColor="text1"/>
          <w:sz w:val="48"/>
          <w:szCs w:val="48"/>
        </w:rPr>
        <w:t>绿色食品生产操作规程</w:t>
      </w:r>
    </w:p>
    <w:p w:rsidR="00A646F9" w:rsidRDefault="00A45B23">
      <w:pPr>
        <w:spacing w:beforeLines="50" w:before="156" w:afterLines="50" w:after="156" w:line="400" w:lineRule="atLeast"/>
        <w:ind w:left="357"/>
        <w:contextualSpacing/>
        <w:jc w:val="right"/>
        <w:rPr>
          <w:rFonts w:ascii="黑体" w:eastAsia="黑体" w:hAnsi="黑体" w:cs="宋体"/>
          <w:color w:val="000000" w:themeColor="text1"/>
          <w:sz w:val="28"/>
          <w:szCs w:val="28"/>
        </w:rPr>
      </w:pPr>
      <w:r w:rsidRPr="00A45B23">
        <w:rPr>
          <w:rFonts w:ascii="黑体" w:eastAsia="黑体" w:hAnsi="黑体" w:cs="宋体"/>
          <w:color w:val="000000" w:themeColor="text1"/>
          <w:sz w:val="28"/>
          <w:szCs w:val="28"/>
        </w:rPr>
        <w:t>GFGC 2023A249</w:t>
      </w:r>
    </w:p>
    <w:p w:rsidR="00A646F9" w:rsidRDefault="00781025">
      <w:pPr>
        <w:spacing w:beforeLines="50" w:before="156" w:afterLines="50" w:after="156" w:line="400" w:lineRule="atLeast"/>
        <w:ind w:left="357"/>
        <w:contextualSpacing/>
        <w:jc w:val="right"/>
        <w:rPr>
          <w:rFonts w:ascii="黑体" w:eastAsia="黑体" w:hAnsi="黑体" w:cs="宋体"/>
          <w:color w:val="000000" w:themeColor="text1"/>
          <w:sz w:val="28"/>
          <w:szCs w:val="28"/>
        </w:rPr>
      </w:pPr>
      <w:r>
        <w:rPr>
          <w:rFonts w:ascii="黑体" w:eastAsia="黑体" w:hAnsi="黑体" w:cs="宋体"/>
          <w:noProof/>
          <w:color w:val="000000" w:themeColor="text1"/>
          <w:sz w:val="28"/>
          <w:szCs w:val="28"/>
        </w:rPr>
        <mc:AlternateContent>
          <mc:Choice Requires="wps">
            <w:drawing>
              <wp:anchor distT="0" distB="0" distL="114300" distR="114300" simplePos="0" relativeHeight="251660288" behindDoc="0" locked="0" layoutInCell="1" allowOverlap="1">
                <wp:simplePos x="0" y="0"/>
                <wp:positionH relativeFrom="column">
                  <wp:posOffset>160020</wp:posOffset>
                </wp:positionH>
                <wp:positionV relativeFrom="paragraph">
                  <wp:posOffset>76200</wp:posOffset>
                </wp:positionV>
                <wp:extent cx="5173980" cy="0"/>
                <wp:effectExtent l="7620" t="13335" r="9525" b="5715"/>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12.6pt;margin-top:6pt;height:0pt;width:407.4pt;z-index:251660288;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OGt9A1AAAAAgBAAAPAAAAAAAAAAEAIAAAACIAAABkcnMvZG93bnJldi54bWxQSwECFAAU&#10;AAAACACHTuJANgXMYvUBAAC+AwAADgAAAAAAAAABACAAAAAjAQAAZHJzL2Uyb0RvYy54bWxQSwUG&#10;AAAAAAYABgBZAQAAigUAAAAA&#10;">
                <v:fill on="f" focussize="0,0"/>
                <v:stroke color="#000000" joinstyle="round"/>
                <v:imagedata o:title=""/>
                <o:lock v:ext="edit" aspectratio="f"/>
              </v:shape>
            </w:pict>
          </mc:Fallback>
        </mc:AlternateContent>
      </w: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781025">
      <w:pPr>
        <w:spacing w:beforeLines="50" w:before="156" w:afterLines="50" w:after="156" w:line="360" w:lineRule="auto"/>
        <w:ind w:left="357"/>
        <w:contextualSpacing/>
        <w:jc w:val="center"/>
        <w:rPr>
          <w:rFonts w:ascii="黑体" w:eastAsia="黑体" w:hAnsi="黑体" w:cs="宋体"/>
          <w:color w:val="000000" w:themeColor="text1"/>
          <w:sz w:val="48"/>
          <w:szCs w:val="48"/>
        </w:rPr>
      </w:pPr>
      <w:r>
        <w:rPr>
          <w:rFonts w:ascii="黑体" w:eastAsia="黑体" w:hAnsi="黑体" w:cs="宋体" w:hint="eastAsia"/>
          <w:color w:val="000000" w:themeColor="text1"/>
          <w:sz w:val="48"/>
          <w:szCs w:val="48"/>
        </w:rPr>
        <w:t>秦巴山地生态区</w:t>
      </w:r>
    </w:p>
    <w:p w:rsidR="00A646F9" w:rsidRDefault="00A646F9">
      <w:pPr>
        <w:spacing w:beforeLines="50" w:before="156" w:afterLines="50" w:after="156" w:line="360" w:lineRule="auto"/>
        <w:ind w:left="357"/>
        <w:contextualSpacing/>
        <w:jc w:val="center"/>
        <w:rPr>
          <w:rFonts w:ascii="黑体" w:eastAsia="黑体" w:hAnsi="黑体" w:cs="宋体"/>
          <w:color w:val="000000" w:themeColor="text1"/>
          <w:sz w:val="18"/>
          <w:szCs w:val="18"/>
        </w:rPr>
      </w:pPr>
    </w:p>
    <w:p w:rsidR="00A646F9" w:rsidRDefault="00781025">
      <w:pPr>
        <w:spacing w:beforeLines="50" w:before="156" w:afterLines="50" w:after="156" w:line="360" w:lineRule="auto"/>
        <w:ind w:left="357"/>
        <w:contextualSpacing/>
        <w:jc w:val="center"/>
        <w:rPr>
          <w:rFonts w:ascii="黑体" w:eastAsia="黑体" w:hAnsi="黑体" w:cs="宋体"/>
          <w:color w:val="000000" w:themeColor="text1"/>
          <w:sz w:val="48"/>
          <w:szCs w:val="48"/>
        </w:rPr>
      </w:pPr>
      <w:r>
        <w:rPr>
          <w:rFonts w:ascii="黑体" w:eastAsia="黑体" w:hAnsi="黑体" w:cs="Times New Roman" w:hint="eastAsia"/>
          <w:color w:val="000000" w:themeColor="text1"/>
          <w:sz w:val="48"/>
          <w:szCs w:val="48"/>
        </w:rPr>
        <w:t>绿色食品 核桃生产操作规程</w:t>
      </w: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CD4009">
      <w:pPr>
        <w:spacing w:beforeLines="50" w:before="156" w:afterLines="50" w:after="156" w:line="400" w:lineRule="atLeast"/>
        <w:ind w:left="357"/>
        <w:contextualSpacing/>
        <w:jc w:val="center"/>
        <w:rPr>
          <w:rFonts w:ascii="黑体" w:eastAsia="黑体" w:hAnsi="黑体" w:cs="宋体"/>
          <w:color w:val="000000" w:themeColor="text1"/>
          <w:sz w:val="32"/>
          <w:szCs w:val="32"/>
        </w:rPr>
      </w:pPr>
      <w:r>
        <w:rPr>
          <w:rFonts w:ascii="黑体" w:eastAsia="黑体" w:hAnsi="黑体" w:cs="宋体" w:hint="eastAsia"/>
          <w:color w:val="000000" w:themeColor="text1"/>
          <w:sz w:val="32"/>
          <w:szCs w:val="32"/>
        </w:rPr>
        <w:t>（报批稿）</w:t>
      </w: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CD4009" w:rsidRDefault="00CD400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0F210F" w:rsidRDefault="000F210F">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CD4009">
      <w:pPr>
        <w:spacing w:beforeLines="50" w:before="156" w:afterLines="50" w:after="156" w:line="400" w:lineRule="atLeast"/>
        <w:ind w:left="357"/>
        <w:contextualSpacing/>
        <w:jc w:val="left"/>
        <w:rPr>
          <w:rFonts w:ascii="黑体" w:eastAsia="黑体" w:hAnsi="黑体" w:cs="宋体"/>
          <w:color w:val="000000" w:themeColor="text1"/>
          <w:sz w:val="28"/>
          <w:szCs w:val="28"/>
        </w:rPr>
      </w:pPr>
      <w:r>
        <w:rPr>
          <w:rFonts w:ascii="黑体" w:eastAsia="黑体" w:hAnsi="黑体" w:cs="宋体" w:hint="eastAsia"/>
          <w:color w:val="000000" w:themeColor="text1"/>
          <w:sz w:val="28"/>
          <w:szCs w:val="28"/>
        </w:rPr>
        <w:t>2023</w:t>
      </w:r>
      <w:r w:rsidR="00781025">
        <w:rPr>
          <w:rFonts w:ascii="黑体" w:eastAsia="黑体" w:hAnsi="黑体" w:cs="宋体" w:hint="eastAsia"/>
          <w:color w:val="000000" w:themeColor="text1"/>
          <w:sz w:val="28"/>
          <w:szCs w:val="28"/>
        </w:rPr>
        <w:t>-</w:t>
      </w:r>
      <w:r w:rsidR="00A45B23">
        <w:rPr>
          <w:rFonts w:ascii="黑体" w:eastAsia="黑体" w:hAnsi="黑体" w:cs="宋体" w:hint="eastAsia"/>
          <w:color w:val="000000" w:themeColor="text1"/>
          <w:sz w:val="28"/>
          <w:szCs w:val="28"/>
        </w:rPr>
        <w:t>04</w:t>
      </w:r>
      <w:r w:rsidR="00781025">
        <w:rPr>
          <w:rFonts w:ascii="黑体" w:eastAsia="黑体" w:hAnsi="黑体" w:cs="宋体" w:hint="eastAsia"/>
          <w:color w:val="000000" w:themeColor="text1"/>
          <w:sz w:val="28"/>
          <w:szCs w:val="28"/>
        </w:rPr>
        <w:t>-</w:t>
      </w:r>
      <w:r w:rsidR="00A45B23">
        <w:rPr>
          <w:rFonts w:ascii="黑体" w:eastAsia="黑体" w:hAnsi="黑体" w:cs="宋体" w:hint="eastAsia"/>
          <w:color w:val="000000" w:themeColor="text1"/>
          <w:sz w:val="28"/>
          <w:szCs w:val="28"/>
        </w:rPr>
        <w:t>25</w:t>
      </w:r>
      <w:r w:rsidR="00781025">
        <w:rPr>
          <w:rFonts w:ascii="黑体" w:eastAsia="黑体" w:hAnsi="黑体" w:cs="宋体" w:hint="eastAsia"/>
          <w:color w:val="000000" w:themeColor="text1"/>
          <w:sz w:val="28"/>
          <w:szCs w:val="28"/>
        </w:rPr>
        <w:t>发布</w:t>
      </w:r>
      <w:r>
        <w:rPr>
          <w:rFonts w:ascii="黑体" w:eastAsia="黑体" w:hAnsi="黑体" w:cs="宋体" w:hint="eastAsia"/>
          <w:color w:val="000000" w:themeColor="text1"/>
          <w:sz w:val="28"/>
          <w:szCs w:val="28"/>
        </w:rPr>
        <w:t xml:space="preserve">    </w:t>
      </w:r>
      <w:r>
        <w:rPr>
          <w:rFonts w:ascii="黑体" w:eastAsia="黑体" w:hAnsi="黑体" w:cs="宋体"/>
          <w:color w:val="000000" w:themeColor="text1"/>
          <w:sz w:val="28"/>
          <w:szCs w:val="28"/>
        </w:rPr>
        <w:t xml:space="preserve">    </w:t>
      </w:r>
      <w:r>
        <w:rPr>
          <w:rFonts w:ascii="黑体" w:eastAsia="黑体" w:hAnsi="黑体" w:cs="宋体" w:hint="eastAsia"/>
          <w:color w:val="000000" w:themeColor="text1"/>
          <w:sz w:val="28"/>
          <w:szCs w:val="28"/>
        </w:rPr>
        <w:t xml:space="preserve">     </w:t>
      </w:r>
      <w:r w:rsidR="00A45B23">
        <w:rPr>
          <w:rFonts w:ascii="黑体" w:eastAsia="黑体" w:hAnsi="黑体" w:cs="宋体"/>
          <w:color w:val="000000" w:themeColor="text1"/>
          <w:sz w:val="28"/>
          <w:szCs w:val="28"/>
        </w:rPr>
        <w:t xml:space="preserve">  </w:t>
      </w:r>
      <w:bookmarkStart w:id="0" w:name="_GoBack"/>
      <w:bookmarkEnd w:id="0"/>
      <w:r w:rsidR="00A45B23">
        <w:rPr>
          <w:rFonts w:ascii="黑体" w:eastAsia="黑体" w:hAnsi="黑体" w:cs="宋体"/>
          <w:color w:val="000000" w:themeColor="text1"/>
          <w:sz w:val="28"/>
          <w:szCs w:val="28"/>
        </w:rPr>
        <w:t xml:space="preserve">    </w:t>
      </w:r>
      <w:r>
        <w:rPr>
          <w:rFonts w:ascii="黑体" w:eastAsia="黑体" w:hAnsi="黑体" w:cs="宋体" w:hint="eastAsia"/>
          <w:color w:val="000000" w:themeColor="text1"/>
          <w:sz w:val="28"/>
          <w:szCs w:val="28"/>
        </w:rPr>
        <w:t xml:space="preserve">     2023</w:t>
      </w:r>
      <w:r w:rsidR="00781025">
        <w:rPr>
          <w:rFonts w:ascii="黑体" w:eastAsia="黑体" w:hAnsi="黑体" w:cs="宋体" w:hint="eastAsia"/>
          <w:color w:val="000000" w:themeColor="text1"/>
          <w:sz w:val="28"/>
          <w:szCs w:val="28"/>
        </w:rPr>
        <w:t>-</w:t>
      </w:r>
      <w:r w:rsidR="00A45B23">
        <w:rPr>
          <w:rFonts w:ascii="黑体" w:eastAsia="黑体" w:hAnsi="黑体" w:cs="宋体"/>
          <w:color w:val="000000" w:themeColor="text1"/>
          <w:sz w:val="28"/>
          <w:szCs w:val="28"/>
        </w:rPr>
        <w:t>0</w:t>
      </w:r>
      <w:r w:rsidR="00A45B23">
        <w:rPr>
          <w:rFonts w:ascii="黑体" w:eastAsia="黑体" w:hAnsi="黑体" w:cs="宋体" w:hint="eastAsia"/>
          <w:color w:val="000000" w:themeColor="text1"/>
          <w:sz w:val="28"/>
          <w:szCs w:val="28"/>
        </w:rPr>
        <w:t>5</w:t>
      </w:r>
      <w:r w:rsidR="00781025">
        <w:rPr>
          <w:rFonts w:ascii="黑体" w:eastAsia="黑体" w:hAnsi="黑体" w:cs="宋体" w:hint="eastAsia"/>
          <w:color w:val="000000" w:themeColor="text1"/>
          <w:sz w:val="28"/>
          <w:szCs w:val="28"/>
        </w:rPr>
        <w:t>-</w:t>
      </w:r>
      <w:r w:rsidR="00A45B23">
        <w:rPr>
          <w:rFonts w:ascii="黑体" w:eastAsia="黑体" w:hAnsi="黑体" w:cs="宋体" w:hint="eastAsia"/>
          <w:color w:val="000000" w:themeColor="text1"/>
          <w:sz w:val="28"/>
          <w:szCs w:val="28"/>
        </w:rPr>
        <w:t>01</w:t>
      </w:r>
      <w:r w:rsidR="00781025">
        <w:rPr>
          <w:rFonts w:ascii="黑体" w:eastAsia="黑体" w:hAnsi="黑体" w:cs="宋体" w:hint="eastAsia"/>
          <w:color w:val="000000" w:themeColor="text1"/>
          <w:sz w:val="28"/>
          <w:szCs w:val="28"/>
        </w:rPr>
        <w:t>实施</w:t>
      </w:r>
    </w:p>
    <w:p w:rsidR="00A646F9" w:rsidRDefault="00781025">
      <w:pPr>
        <w:spacing w:beforeLines="50" w:before="156" w:afterLines="50" w:after="156" w:line="400" w:lineRule="atLeast"/>
        <w:ind w:left="357"/>
        <w:contextualSpacing/>
        <w:jc w:val="left"/>
        <w:rPr>
          <w:rFonts w:ascii="黑体" w:eastAsia="黑体" w:hAnsi="黑体" w:cs="宋体"/>
          <w:color w:val="000000" w:themeColor="text1"/>
          <w:sz w:val="24"/>
          <w:szCs w:val="24"/>
        </w:rPr>
      </w:pPr>
      <w:r>
        <w:rPr>
          <w:rFonts w:ascii="黑体" w:eastAsia="黑体" w:hAnsi="黑体" w:cs="宋体"/>
          <w:noProof/>
          <w:color w:val="000000" w:themeColor="text1"/>
          <w:sz w:val="24"/>
          <w:szCs w:val="24"/>
        </w:rPr>
        <mc:AlternateContent>
          <mc:Choice Requires="wps">
            <w:drawing>
              <wp:anchor distT="0" distB="0" distL="114300" distR="114300" simplePos="0" relativeHeight="251659264" behindDoc="0" locked="0" layoutInCell="1" allowOverlap="1">
                <wp:simplePos x="0" y="0"/>
                <wp:positionH relativeFrom="column">
                  <wp:posOffset>205740</wp:posOffset>
                </wp:positionH>
                <wp:positionV relativeFrom="paragraph">
                  <wp:posOffset>114300</wp:posOffset>
                </wp:positionV>
                <wp:extent cx="4853940" cy="15240"/>
                <wp:effectExtent l="5715" t="5715" r="7620" b="762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16.2pt;margin-top:9pt;height:1.2pt;width:382.2pt;z-index:251659264;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RqLaR1wAAAAgBAAAPAAAAAAAAAAEAIAAAACIAAABkcnMvZG93bnJldi54bWxQ&#10;SwECFAAUAAAACACHTuJAEZfEivgBAADCAwAADgAAAAAAAAABACAAAAAmAQAAZHJzL2Uyb0RvYy54&#10;bWxQSwUGAAAAAAYABgBZAQAAkAUAAAAA&#10;">
                <v:fill on="f" focussize="0,0"/>
                <v:stroke color="#000000" joinstyle="round"/>
                <v:imagedata o:title=""/>
                <o:lock v:ext="edit" aspectratio="f"/>
              </v:shape>
            </w:pict>
          </mc:Fallback>
        </mc:AlternateContent>
      </w:r>
    </w:p>
    <w:p w:rsidR="00A646F9" w:rsidRDefault="00781025">
      <w:pPr>
        <w:spacing w:beforeLines="50" w:before="156" w:afterLines="50" w:after="156" w:line="400" w:lineRule="atLeast"/>
        <w:ind w:left="357"/>
        <w:contextualSpacing/>
        <w:jc w:val="center"/>
        <w:rPr>
          <w:rFonts w:ascii="黑体" w:eastAsia="黑体" w:hAnsi="黑体" w:cs="宋体"/>
          <w:color w:val="000000" w:themeColor="text1"/>
          <w:sz w:val="28"/>
          <w:szCs w:val="28"/>
        </w:rPr>
      </w:pPr>
      <w:r>
        <w:rPr>
          <w:rFonts w:ascii="华文中宋" w:eastAsia="华文中宋" w:hAnsi="华文中宋" w:cs="宋体" w:hint="eastAsia"/>
          <w:color w:val="000000" w:themeColor="text1"/>
          <w:spacing w:val="71"/>
          <w:kern w:val="0"/>
          <w:sz w:val="32"/>
          <w:szCs w:val="32"/>
          <w:fitText w:val="4480" w:id="-1529711356"/>
        </w:rPr>
        <w:t>中国绿色食品发展中</w:t>
      </w:r>
      <w:r>
        <w:rPr>
          <w:rFonts w:ascii="华文中宋" w:eastAsia="华文中宋" w:hAnsi="华文中宋" w:cs="宋体" w:hint="eastAsia"/>
          <w:color w:val="000000" w:themeColor="text1"/>
          <w:spacing w:val="1"/>
          <w:kern w:val="0"/>
          <w:sz w:val="32"/>
          <w:szCs w:val="32"/>
          <w:fitText w:val="4480" w:id="-1529711356"/>
        </w:rPr>
        <w:t>心</w:t>
      </w:r>
      <w:r>
        <w:rPr>
          <w:rFonts w:ascii="华文中宋" w:eastAsia="华文中宋" w:hAnsi="华文中宋" w:cs="宋体" w:hint="eastAsia"/>
          <w:color w:val="000000" w:themeColor="text1"/>
          <w:kern w:val="0"/>
          <w:sz w:val="32"/>
          <w:szCs w:val="32"/>
        </w:rPr>
        <w:t xml:space="preserve">  </w:t>
      </w:r>
      <w:r>
        <w:rPr>
          <w:rFonts w:ascii="黑体" w:eastAsia="黑体" w:hAnsi="黑体" w:cs="宋体" w:hint="eastAsia"/>
          <w:color w:val="000000" w:themeColor="text1"/>
          <w:sz w:val="28"/>
          <w:szCs w:val="28"/>
        </w:rPr>
        <w:t>发 布</w:t>
      </w: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sectPr w:rsidR="00A646F9">
          <w:pgSz w:w="11906" w:h="16838"/>
          <w:pgMar w:top="1440" w:right="1800" w:bottom="1440" w:left="1800" w:header="851" w:footer="992" w:gutter="0"/>
          <w:cols w:space="425"/>
          <w:docGrid w:type="lines" w:linePitch="312"/>
        </w:sectPr>
      </w:pPr>
    </w:p>
    <w:p w:rsidR="00A646F9" w:rsidRDefault="00A646F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781025">
      <w:pPr>
        <w:spacing w:beforeLines="50" w:before="156" w:afterLines="50" w:after="156" w:line="400" w:lineRule="atLeast"/>
        <w:ind w:left="357"/>
        <w:contextualSpacing/>
        <w:jc w:val="center"/>
        <w:rPr>
          <w:rFonts w:ascii="黑体" w:eastAsia="黑体" w:hAnsi="黑体" w:cs="宋体"/>
          <w:color w:val="000000" w:themeColor="text1"/>
          <w:sz w:val="32"/>
          <w:szCs w:val="32"/>
        </w:rPr>
      </w:pPr>
      <w:r>
        <w:rPr>
          <w:rFonts w:ascii="黑体" w:eastAsia="黑体" w:hAnsi="黑体" w:cs="宋体" w:hint="eastAsia"/>
          <w:color w:val="000000" w:themeColor="text1"/>
          <w:sz w:val="32"/>
          <w:szCs w:val="32"/>
        </w:rPr>
        <w:t>前  言</w:t>
      </w:r>
    </w:p>
    <w:p w:rsidR="00CD4009" w:rsidRDefault="00CD4009">
      <w:pPr>
        <w:spacing w:beforeLines="50" w:before="156" w:afterLines="50" w:after="156" w:line="400" w:lineRule="atLeast"/>
        <w:ind w:left="357"/>
        <w:contextualSpacing/>
        <w:jc w:val="center"/>
        <w:rPr>
          <w:rFonts w:ascii="黑体" w:eastAsia="黑体" w:hAnsi="黑体" w:cs="宋体"/>
          <w:color w:val="000000" w:themeColor="text1"/>
          <w:sz w:val="32"/>
          <w:szCs w:val="32"/>
        </w:rPr>
      </w:pPr>
    </w:p>
    <w:p w:rsidR="00A646F9" w:rsidRDefault="00781025">
      <w:pPr>
        <w:spacing w:beforeLines="50" w:before="156" w:afterLines="50" w:after="156" w:line="400" w:lineRule="atLeast"/>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本规程由中国绿色食品发展中心提出并归口。</w:t>
      </w:r>
    </w:p>
    <w:p w:rsidR="00A646F9" w:rsidRDefault="00781025">
      <w:pPr>
        <w:spacing w:beforeLines="50" w:before="156" w:afterLines="50" w:after="156" w:line="400" w:lineRule="atLeast"/>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本规程起草单位：甘肃省农业科学院农业质量标准与检测技术研究所、甘肃省绿色食品办公室、陇南市经济林研究院核桃研究所、四川省绿色食品发展中心、陕西省农产品质</w:t>
      </w:r>
      <w:proofErr w:type="gramStart"/>
      <w:r>
        <w:rPr>
          <w:rFonts w:ascii="宋体" w:eastAsia="宋体" w:hAnsi="宋体" w:cs="宋体" w:hint="eastAsia"/>
          <w:color w:val="000000" w:themeColor="text1"/>
          <w:szCs w:val="21"/>
        </w:rPr>
        <w:t>量安全</w:t>
      </w:r>
      <w:proofErr w:type="gramEnd"/>
      <w:r>
        <w:rPr>
          <w:rFonts w:ascii="宋体" w:eastAsia="宋体" w:hAnsi="宋体" w:cs="宋体" w:hint="eastAsia"/>
          <w:color w:val="000000" w:themeColor="text1"/>
          <w:szCs w:val="21"/>
        </w:rPr>
        <w:t>中心、湖北省十堰市绿色食品办公室、</w:t>
      </w:r>
      <w:r>
        <w:rPr>
          <w:rFonts w:ascii="宋体" w:eastAsia="宋体" w:hAnsi="宋体" w:cs="宋体" w:hint="eastAsia"/>
          <w:szCs w:val="21"/>
        </w:rPr>
        <w:t>甘肃省</w:t>
      </w:r>
      <w:proofErr w:type="gramStart"/>
      <w:r>
        <w:rPr>
          <w:rFonts w:ascii="宋体" w:eastAsia="宋体" w:hAnsi="宋体" w:cs="宋体" w:hint="eastAsia"/>
          <w:szCs w:val="21"/>
        </w:rPr>
        <w:t>农业科学院林果</w:t>
      </w:r>
      <w:proofErr w:type="gramEnd"/>
      <w:r>
        <w:rPr>
          <w:rFonts w:ascii="宋体" w:eastAsia="宋体" w:hAnsi="宋体" w:cs="宋体" w:hint="eastAsia"/>
          <w:szCs w:val="21"/>
        </w:rPr>
        <w:t>花卉研究所、</w:t>
      </w:r>
      <w:r>
        <w:rPr>
          <w:rFonts w:ascii="宋体" w:eastAsia="宋体" w:hAnsi="宋体" w:cs="宋体" w:hint="eastAsia"/>
          <w:color w:val="000000" w:themeColor="text1"/>
          <w:szCs w:val="21"/>
        </w:rPr>
        <w:t>天水市麦</w:t>
      </w:r>
      <w:proofErr w:type="gramStart"/>
      <w:r>
        <w:rPr>
          <w:rFonts w:ascii="宋体" w:eastAsia="宋体" w:hAnsi="宋体" w:cs="宋体" w:hint="eastAsia"/>
          <w:color w:val="000000" w:themeColor="text1"/>
          <w:szCs w:val="21"/>
        </w:rPr>
        <w:t>积区农产品质量安全</w:t>
      </w:r>
      <w:proofErr w:type="gramEnd"/>
      <w:r>
        <w:rPr>
          <w:rFonts w:ascii="宋体" w:eastAsia="宋体" w:hAnsi="宋体" w:cs="宋体" w:hint="eastAsia"/>
          <w:color w:val="000000" w:themeColor="text1"/>
          <w:szCs w:val="21"/>
        </w:rPr>
        <w:t>监测中心、天水市果树研究所、平凉市农业科学院、陇南市武都区核桃产业开发中心、</w:t>
      </w:r>
      <w:r>
        <w:rPr>
          <w:rFonts w:ascii="宋体" w:eastAsia="宋体" w:hAnsi="宋体" w:cs="宋体"/>
          <w:color w:val="000000" w:themeColor="text1"/>
          <w:szCs w:val="21"/>
        </w:rPr>
        <w:t>中国绿色食品发展中心</w:t>
      </w:r>
      <w:r>
        <w:rPr>
          <w:rFonts w:ascii="宋体" w:eastAsia="宋体" w:hAnsi="宋体" w:cs="宋体" w:hint="eastAsia"/>
          <w:color w:val="000000" w:themeColor="text1"/>
          <w:szCs w:val="21"/>
        </w:rPr>
        <w:t>。</w:t>
      </w:r>
    </w:p>
    <w:p w:rsidR="00A646F9" w:rsidRDefault="00781025">
      <w:pPr>
        <w:spacing w:beforeLines="50" w:before="156" w:afterLines="50" w:after="156" w:line="400" w:lineRule="atLeast"/>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本规程主要起草人：李瑞琴、满 润、辛 国、于安芬、李涛、彭春莲、王璋、</w:t>
      </w:r>
      <w:r>
        <w:rPr>
          <w:rFonts w:ascii="宋体" w:eastAsia="宋体" w:hAnsi="宋体" w:cs="宋体" w:hint="eastAsia"/>
          <w:szCs w:val="21"/>
        </w:rPr>
        <w:t>韩富军、</w:t>
      </w:r>
      <w:r>
        <w:rPr>
          <w:rFonts w:ascii="宋体" w:eastAsia="宋体" w:hAnsi="宋体" w:cs="宋体" w:hint="eastAsia"/>
          <w:color w:val="000000" w:themeColor="text1"/>
          <w:szCs w:val="21"/>
        </w:rPr>
        <w:t>巩芳娥、许文艳、汪国锋、钱永波、周晓康、刘赵帆、李展鹏、王刚、常春、宋晓。</w:t>
      </w:r>
    </w:p>
    <w:p w:rsidR="00A646F9" w:rsidRDefault="00A646F9">
      <w:pPr>
        <w:spacing w:beforeLines="50" w:before="156" w:afterLines="50" w:after="156" w:line="400" w:lineRule="atLeast"/>
        <w:ind w:firstLineChars="200" w:firstLine="420"/>
        <w:contextualSpacing/>
        <w:jc w:val="left"/>
        <w:rPr>
          <w:rFonts w:ascii="宋体" w:eastAsia="宋体" w:hAnsi="宋体" w:cs="宋体"/>
          <w:color w:val="000000" w:themeColor="text1"/>
          <w:szCs w:val="21"/>
        </w:rPr>
      </w:pPr>
    </w:p>
    <w:p w:rsidR="00A646F9" w:rsidRDefault="00A646F9">
      <w:pPr>
        <w:spacing w:beforeLines="50" w:before="156" w:afterLines="50" w:after="156" w:line="400" w:lineRule="atLeast"/>
        <w:ind w:firstLineChars="200" w:firstLine="420"/>
        <w:contextualSpacing/>
        <w:jc w:val="left"/>
        <w:rPr>
          <w:rFonts w:ascii="宋体" w:eastAsia="宋体" w:hAnsi="宋体" w:cs="宋体"/>
          <w:color w:val="000000" w:themeColor="text1"/>
          <w:szCs w:val="21"/>
        </w:rPr>
      </w:pPr>
    </w:p>
    <w:p w:rsidR="00A646F9" w:rsidRDefault="00A646F9">
      <w:pPr>
        <w:spacing w:beforeLines="50" w:before="156" w:afterLines="50" w:after="156" w:line="400" w:lineRule="atLeast"/>
        <w:ind w:firstLineChars="200" w:firstLine="420"/>
        <w:contextualSpacing/>
        <w:jc w:val="left"/>
        <w:rPr>
          <w:rFonts w:ascii="宋体" w:eastAsia="宋体" w:hAnsi="宋体" w:cs="宋体"/>
          <w:color w:val="000000" w:themeColor="text1"/>
          <w:szCs w:val="21"/>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A646F9">
      <w:pPr>
        <w:spacing w:beforeLines="50" w:before="156" w:afterLines="50" w:after="156" w:line="400" w:lineRule="atLeast"/>
        <w:ind w:firstLineChars="200" w:firstLine="560"/>
        <w:contextualSpacing/>
        <w:jc w:val="left"/>
        <w:rPr>
          <w:rFonts w:ascii="宋体" w:eastAsia="宋体" w:hAnsi="宋体" w:cs="宋体"/>
          <w:color w:val="000000" w:themeColor="text1"/>
          <w:sz w:val="28"/>
          <w:szCs w:val="28"/>
        </w:rPr>
      </w:pPr>
    </w:p>
    <w:p w:rsidR="00A646F9" w:rsidRDefault="00781025">
      <w:pPr>
        <w:rPr>
          <w:rFonts w:ascii="宋体" w:eastAsia="宋体" w:hAnsi="宋体" w:cs="宋体"/>
          <w:color w:val="000000" w:themeColor="text1"/>
          <w:sz w:val="28"/>
          <w:szCs w:val="28"/>
        </w:rPr>
      </w:pPr>
      <w:r>
        <w:rPr>
          <w:rFonts w:ascii="宋体" w:eastAsia="宋体" w:hAnsi="宋体" w:cs="宋体"/>
          <w:color w:val="000000" w:themeColor="text1"/>
          <w:sz w:val="28"/>
          <w:szCs w:val="28"/>
        </w:rPr>
        <w:br w:type="page"/>
      </w:r>
    </w:p>
    <w:p w:rsidR="00CD4009" w:rsidRDefault="00CD4009">
      <w:pPr>
        <w:spacing w:beforeLines="50" w:before="156" w:afterLines="50" w:after="156" w:line="400" w:lineRule="atLeast"/>
        <w:ind w:left="357"/>
        <w:contextualSpacing/>
        <w:jc w:val="center"/>
        <w:rPr>
          <w:rFonts w:ascii="黑体" w:eastAsia="黑体" w:hAnsi="黑体" w:cs="Times New Roman"/>
          <w:color w:val="000000" w:themeColor="text1"/>
          <w:sz w:val="32"/>
          <w:szCs w:val="32"/>
        </w:rPr>
      </w:pPr>
    </w:p>
    <w:p w:rsidR="00A646F9" w:rsidRDefault="00781025">
      <w:pPr>
        <w:spacing w:beforeLines="50" w:before="156" w:afterLines="50" w:after="156" w:line="400" w:lineRule="atLeast"/>
        <w:ind w:left="357"/>
        <w:contextualSpacing/>
        <w:jc w:val="center"/>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秦巴山地生态区</w:t>
      </w:r>
    </w:p>
    <w:p w:rsidR="00A646F9" w:rsidRDefault="00781025">
      <w:pPr>
        <w:spacing w:beforeLines="50" w:before="156" w:afterLines="50" w:after="156" w:line="400" w:lineRule="atLeast"/>
        <w:ind w:left="357"/>
        <w:contextualSpacing/>
        <w:jc w:val="center"/>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绿色食品核桃生产操作规程</w:t>
      </w:r>
    </w:p>
    <w:p w:rsidR="00A646F9" w:rsidRDefault="00781025">
      <w:pPr>
        <w:pStyle w:val="2"/>
        <w:spacing w:beforeLines="100" w:before="312" w:afterLines="100" w:after="312"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1 范围</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本规程规定了秦巴山地生态区绿色食品核桃的产地环境、品种选择、建园、栽植、田间管理、采收及包装、生产废弃物处理、储藏运输及生产档案管理等。</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本规程适用于湖北（十堰）、四川（广元、巴中）、陕西（商洛、汉中）、甘肃（陇南、天水）等地区绿色食品核桃的生产。</w:t>
      </w:r>
    </w:p>
    <w:p w:rsidR="00A646F9" w:rsidRDefault="00781025">
      <w:pPr>
        <w:pStyle w:val="2"/>
        <w:spacing w:beforeLines="100" w:before="312" w:afterLines="100" w:after="312"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2 规范性引用文件</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下列文件对于本文件的应用是必不可少的。凡是注日期的引用文件，仅注日期的版本适用于本文件。凡是不注日期的引用文件，其最新版本（包括所有的修改单）适用于本文件。</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 xml:space="preserve">GB/T 20398 </w:t>
      </w:r>
      <w:r w:rsidR="00C26A13">
        <w:rPr>
          <w:rFonts w:ascii="宋体" w:eastAsia="宋体" w:hAnsi="宋体" w:cs="宋体"/>
          <w:color w:val="000000" w:themeColor="text1"/>
          <w:szCs w:val="21"/>
        </w:rPr>
        <w:t xml:space="preserve"> </w:t>
      </w:r>
      <w:r>
        <w:rPr>
          <w:rFonts w:ascii="宋体" w:eastAsia="宋体" w:hAnsi="宋体" w:cs="宋体" w:hint="eastAsia"/>
          <w:color w:val="000000" w:themeColor="text1"/>
          <w:szCs w:val="21"/>
        </w:rPr>
        <w:t>核桃坚果质量等级</w:t>
      </w:r>
    </w:p>
    <w:p w:rsidR="00C26A13" w:rsidRDefault="00C26A13" w:rsidP="00C26A13">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GH/T 1354</w:t>
      </w:r>
      <w:r>
        <w:rPr>
          <w:rFonts w:ascii="宋体" w:eastAsia="宋体" w:hAnsi="宋体" w:cs="宋体"/>
          <w:color w:val="000000" w:themeColor="text1"/>
          <w:szCs w:val="21"/>
        </w:rPr>
        <w:t xml:space="preserve"> </w:t>
      </w:r>
      <w:r>
        <w:rPr>
          <w:rFonts w:ascii="宋体" w:eastAsia="宋体" w:hAnsi="宋体" w:cs="宋体" w:hint="eastAsia"/>
          <w:color w:val="000000" w:themeColor="text1"/>
          <w:szCs w:val="21"/>
        </w:rPr>
        <w:t xml:space="preserve"> 废旧地膜回收技术规范</w:t>
      </w:r>
    </w:p>
    <w:p w:rsidR="001C129B" w:rsidRPr="001C129B" w:rsidRDefault="001C129B" w:rsidP="001C129B">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LY/T 3004</w:t>
      </w:r>
      <w:r>
        <w:rPr>
          <w:rFonts w:ascii="宋体" w:eastAsia="宋体" w:hAnsi="宋体" w:cs="宋体"/>
          <w:color w:val="000000" w:themeColor="text1"/>
          <w:szCs w:val="21"/>
        </w:rPr>
        <w:t xml:space="preserve"> </w:t>
      </w:r>
      <w:r>
        <w:rPr>
          <w:rFonts w:ascii="宋体" w:eastAsia="宋体" w:hAnsi="宋体" w:cs="宋体" w:hint="eastAsia"/>
          <w:color w:val="000000" w:themeColor="text1"/>
          <w:szCs w:val="21"/>
        </w:rPr>
        <w:t xml:space="preserve"> 核桃标准综合体</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 xml:space="preserve">NY/T 391 </w:t>
      </w:r>
      <w:r w:rsidR="00C26A13">
        <w:rPr>
          <w:rFonts w:ascii="宋体" w:eastAsia="宋体" w:hAnsi="宋体" w:cs="宋体"/>
          <w:color w:val="000000" w:themeColor="text1"/>
          <w:szCs w:val="21"/>
        </w:rPr>
        <w:t xml:space="preserve"> </w:t>
      </w:r>
      <w:r>
        <w:rPr>
          <w:rFonts w:ascii="宋体" w:eastAsia="宋体" w:hAnsi="宋体" w:cs="宋体" w:hint="eastAsia"/>
          <w:color w:val="000000" w:themeColor="text1"/>
          <w:szCs w:val="21"/>
        </w:rPr>
        <w:t>绿色食品 产地环境质量</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 xml:space="preserve">NY/T 393 </w:t>
      </w:r>
      <w:r w:rsidR="00C26A13">
        <w:rPr>
          <w:rFonts w:ascii="宋体" w:eastAsia="宋体" w:hAnsi="宋体" w:cs="宋体"/>
          <w:color w:val="000000" w:themeColor="text1"/>
          <w:szCs w:val="21"/>
        </w:rPr>
        <w:t xml:space="preserve"> </w:t>
      </w:r>
      <w:r>
        <w:rPr>
          <w:rFonts w:ascii="宋体" w:eastAsia="宋体" w:hAnsi="宋体" w:cs="宋体" w:hint="eastAsia"/>
          <w:color w:val="000000" w:themeColor="text1"/>
          <w:szCs w:val="21"/>
        </w:rPr>
        <w:t>绿色食品</w:t>
      </w:r>
      <w:r>
        <w:rPr>
          <w:rFonts w:ascii="宋体" w:eastAsia="宋体" w:hAnsi="宋体" w:cs="宋体"/>
          <w:color w:val="000000" w:themeColor="text1"/>
          <w:szCs w:val="21"/>
        </w:rPr>
        <w:t xml:space="preserve"> </w:t>
      </w:r>
      <w:r>
        <w:rPr>
          <w:rFonts w:ascii="宋体" w:eastAsia="宋体" w:hAnsi="宋体" w:cs="宋体" w:hint="eastAsia"/>
          <w:color w:val="000000" w:themeColor="text1"/>
          <w:szCs w:val="21"/>
        </w:rPr>
        <w:t>农药使用准则</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NY/T 394</w:t>
      </w:r>
      <w:r>
        <w:rPr>
          <w:rFonts w:ascii="宋体" w:eastAsia="宋体" w:hAnsi="宋体" w:cs="宋体" w:hint="eastAsia"/>
          <w:color w:val="000000" w:themeColor="text1"/>
          <w:szCs w:val="21"/>
        </w:rPr>
        <w:t xml:space="preserve"> </w:t>
      </w:r>
      <w:r w:rsidR="00C26A13">
        <w:rPr>
          <w:rFonts w:ascii="宋体" w:eastAsia="宋体" w:hAnsi="宋体" w:cs="宋体"/>
          <w:color w:val="000000" w:themeColor="text1"/>
          <w:szCs w:val="21"/>
        </w:rPr>
        <w:t xml:space="preserve"> </w:t>
      </w:r>
      <w:r>
        <w:rPr>
          <w:rFonts w:ascii="宋体" w:eastAsia="宋体" w:hAnsi="宋体" w:cs="宋体" w:hint="eastAsia"/>
          <w:color w:val="000000" w:themeColor="text1"/>
          <w:szCs w:val="21"/>
        </w:rPr>
        <w:t>绿色食品 肥料使用准则</w:t>
      </w:r>
    </w:p>
    <w:p w:rsidR="00A646F9" w:rsidRDefault="00781025">
      <w:pPr>
        <w:spacing w:line="400" w:lineRule="atLeast"/>
        <w:ind w:firstLineChars="200" w:firstLine="420"/>
        <w:contextualSpacing/>
        <w:rPr>
          <w:rFonts w:ascii="宋体" w:eastAsia="宋体" w:hAnsi="宋体" w:cs="宋体"/>
          <w:color w:val="000000" w:themeColor="text1"/>
          <w:szCs w:val="21"/>
        </w:rPr>
      </w:pPr>
      <w:bookmarkStart w:id="1" w:name="_Hlk117417794"/>
      <w:bookmarkStart w:id="2" w:name="_Hlk117417685"/>
      <w:r>
        <w:rPr>
          <w:rFonts w:ascii="宋体" w:eastAsia="宋体" w:hAnsi="宋体" w:cs="宋体" w:hint="eastAsia"/>
          <w:color w:val="000000" w:themeColor="text1"/>
          <w:szCs w:val="21"/>
        </w:rPr>
        <w:t xml:space="preserve">NY/T 658 </w:t>
      </w:r>
      <w:bookmarkEnd w:id="1"/>
      <w:r w:rsidR="00C26A13">
        <w:rPr>
          <w:rFonts w:ascii="宋体" w:eastAsia="宋体" w:hAnsi="宋体" w:cs="宋体"/>
          <w:color w:val="000000" w:themeColor="text1"/>
          <w:szCs w:val="21"/>
        </w:rPr>
        <w:t xml:space="preserve"> </w:t>
      </w:r>
      <w:r>
        <w:rPr>
          <w:rFonts w:ascii="宋体" w:eastAsia="宋体" w:hAnsi="宋体" w:cs="宋体" w:hint="eastAsia"/>
          <w:color w:val="000000" w:themeColor="text1"/>
          <w:szCs w:val="21"/>
        </w:rPr>
        <w:t>绿色食品 包装通用准则</w:t>
      </w:r>
    </w:p>
    <w:p w:rsidR="00A646F9" w:rsidRDefault="00C26A13" w:rsidP="00C26A13">
      <w:pPr>
        <w:spacing w:line="400" w:lineRule="atLeast"/>
        <w:ind w:firstLineChars="200" w:firstLine="420"/>
        <w:contextualSpacing/>
        <w:rPr>
          <w:rFonts w:ascii="宋体" w:eastAsia="宋体" w:hAnsi="宋体" w:cs="宋体"/>
          <w:color w:val="000000" w:themeColor="text1"/>
          <w:szCs w:val="21"/>
        </w:rPr>
      </w:pPr>
      <w:r>
        <w:rPr>
          <w:rFonts w:ascii="宋体" w:hAnsi="宋体"/>
          <w:color w:val="000000"/>
        </w:rPr>
        <w:t>NY/T</w:t>
      </w:r>
      <w:r w:rsidR="00781025">
        <w:rPr>
          <w:rFonts w:ascii="宋体" w:eastAsia="宋体" w:hAnsi="宋体" w:cs="宋体" w:hint="eastAsia"/>
          <w:color w:val="000000" w:themeColor="text1"/>
          <w:szCs w:val="21"/>
        </w:rPr>
        <w:t xml:space="preserve"> 1056 </w:t>
      </w:r>
      <w:r>
        <w:rPr>
          <w:rFonts w:ascii="宋体" w:eastAsia="宋体" w:hAnsi="宋体" w:cs="宋体"/>
          <w:color w:val="000000" w:themeColor="text1"/>
          <w:szCs w:val="21"/>
        </w:rPr>
        <w:t xml:space="preserve"> </w:t>
      </w:r>
      <w:r w:rsidR="00781025">
        <w:rPr>
          <w:rFonts w:ascii="宋体" w:eastAsia="宋体" w:hAnsi="宋体" w:cs="宋体" w:hint="eastAsia"/>
          <w:color w:val="000000" w:themeColor="text1"/>
          <w:szCs w:val="21"/>
        </w:rPr>
        <w:t>绿色食品 储藏运输准则</w:t>
      </w:r>
      <w:bookmarkEnd w:id="2"/>
    </w:p>
    <w:p w:rsidR="00A646F9" w:rsidRDefault="00781025">
      <w:pPr>
        <w:spacing w:line="400" w:lineRule="atLeast"/>
        <w:ind w:firstLineChars="200" w:firstLine="420"/>
        <w:contextualSpacing/>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中华人民共和国农业农村部</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生态环境部令</w:t>
      </w:r>
      <w:r>
        <w:rPr>
          <w:rFonts w:ascii="Times New Roman" w:eastAsia="宋体" w:hAnsi="Times New Roman" w:cs="Times New Roman"/>
          <w:color w:val="000000" w:themeColor="text1"/>
          <w:szCs w:val="21"/>
        </w:rPr>
        <w:t>2020</w:t>
      </w:r>
      <w:r>
        <w:rPr>
          <w:rFonts w:ascii="Times New Roman" w:eastAsia="宋体" w:hAnsi="Times New Roman" w:cs="Times New Roman"/>
          <w:color w:val="000000" w:themeColor="text1"/>
          <w:szCs w:val="21"/>
        </w:rPr>
        <w:t>年第</w:t>
      </w:r>
      <w:r>
        <w:rPr>
          <w:rFonts w:ascii="Times New Roman" w:eastAsia="宋体" w:hAnsi="Times New Roman" w:cs="Times New Roman"/>
          <w:color w:val="000000" w:themeColor="text1"/>
          <w:szCs w:val="21"/>
        </w:rPr>
        <w:t>7</w:t>
      </w:r>
      <w:r>
        <w:rPr>
          <w:rFonts w:ascii="Times New Roman" w:eastAsia="宋体" w:hAnsi="Times New Roman" w:cs="Times New Roman"/>
          <w:color w:val="000000" w:themeColor="text1"/>
          <w:szCs w:val="21"/>
        </w:rPr>
        <w:t>号（《农药包装废弃物回收处理管理办法》）</w:t>
      </w:r>
    </w:p>
    <w:p w:rsidR="00A646F9" w:rsidRDefault="00781025">
      <w:pPr>
        <w:pStyle w:val="2"/>
        <w:spacing w:beforeLines="100" w:before="312" w:afterLines="100" w:after="312"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 xml:space="preserve">3 产地环境 </w:t>
      </w:r>
    </w:p>
    <w:p w:rsidR="00A646F9" w:rsidRDefault="00781025">
      <w:pPr>
        <w:spacing w:beforeLines="50" w:before="156" w:afterLines="50" w:after="156" w:line="400" w:lineRule="exact"/>
        <w:rPr>
          <w:rFonts w:ascii="黑体" w:eastAsia="黑体" w:hAnsi="黑体" w:cs="Times New Roman"/>
          <w:color w:val="000000" w:themeColor="text1"/>
          <w:kern w:val="0"/>
          <w:szCs w:val="21"/>
        </w:rPr>
      </w:pPr>
      <w:r>
        <w:rPr>
          <w:rFonts w:ascii="黑体" w:eastAsia="黑体" w:hAnsi="黑体" w:cs="Times New Roman"/>
          <w:color w:val="000000" w:themeColor="text1"/>
          <w:kern w:val="0"/>
          <w:szCs w:val="21"/>
        </w:rPr>
        <w:t xml:space="preserve">3.1 </w:t>
      </w:r>
      <w:r>
        <w:rPr>
          <w:rFonts w:ascii="黑体" w:eastAsia="黑体" w:hAnsi="黑体" w:cs="Times New Roman" w:hint="eastAsia"/>
          <w:color w:val="000000" w:themeColor="text1"/>
          <w:kern w:val="0"/>
          <w:szCs w:val="21"/>
        </w:rPr>
        <w:t>园</w:t>
      </w:r>
      <w:r>
        <w:rPr>
          <w:rFonts w:ascii="黑体" w:eastAsia="黑体" w:hAnsi="黑体" w:cs="Times New Roman"/>
          <w:color w:val="000000" w:themeColor="text1"/>
          <w:kern w:val="0"/>
          <w:szCs w:val="21"/>
        </w:rPr>
        <w:t>址选</w:t>
      </w:r>
      <w:r>
        <w:rPr>
          <w:rFonts w:ascii="黑体" w:eastAsia="黑体" w:hAnsi="黑体" w:cs="Times New Roman" w:hint="eastAsia"/>
          <w:color w:val="000000" w:themeColor="text1"/>
          <w:kern w:val="0"/>
          <w:szCs w:val="21"/>
        </w:rPr>
        <w:t>择</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建园时</w:t>
      </w:r>
      <w:r>
        <w:rPr>
          <w:rFonts w:ascii="Times New Roman" w:eastAsia="宋体" w:hAnsi="Times New Roman" w:cs="Times New Roman"/>
          <w:color w:val="000000" w:themeColor="text1"/>
          <w:szCs w:val="21"/>
        </w:rPr>
        <w:t>应远离城区、工矿区、交通主干线、工业污染源、生活垃圾场等，应具有较强的可持续生产能力，产地环境</w:t>
      </w:r>
      <w:r>
        <w:rPr>
          <w:rFonts w:ascii="Times New Roman" w:eastAsia="宋体" w:hAnsi="Times New Roman" w:cs="Times New Roman" w:hint="eastAsia"/>
          <w:color w:val="000000" w:themeColor="text1"/>
          <w:szCs w:val="21"/>
        </w:rPr>
        <w:t>质量</w:t>
      </w:r>
      <w:r>
        <w:rPr>
          <w:rFonts w:ascii="Times New Roman" w:eastAsia="宋体" w:hAnsi="Times New Roman" w:cs="Times New Roman"/>
          <w:color w:val="000000" w:themeColor="text1"/>
          <w:szCs w:val="21"/>
        </w:rPr>
        <w:t>应符合</w:t>
      </w:r>
      <w:r>
        <w:rPr>
          <w:rFonts w:ascii="Times New Roman" w:eastAsia="宋体" w:hAnsi="Times New Roman" w:cs="Times New Roman"/>
          <w:color w:val="000000" w:themeColor="text1"/>
          <w:szCs w:val="21"/>
        </w:rPr>
        <w:t>NY/T 391</w:t>
      </w:r>
      <w:r>
        <w:rPr>
          <w:rFonts w:ascii="Times New Roman" w:eastAsia="宋体" w:hAnsi="Times New Roman" w:cs="Times New Roman"/>
          <w:color w:val="000000" w:themeColor="text1"/>
          <w:szCs w:val="21"/>
        </w:rPr>
        <w:t>的规定。</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3.2 地形地势</w:t>
      </w:r>
    </w:p>
    <w:p w:rsidR="00A646F9" w:rsidRDefault="00781025">
      <w:pPr>
        <w:spacing w:line="400" w:lineRule="atLeast"/>
        <w:ind w:firstLineChars="200" w:firstLine="420"/>
        <w:contextualSpacing/>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选择北纬</w:t>
      </w:r>
      <w:r>
        <w:rPr>
          <w:rFonts w:ascii="Times New Roman" w:eastAsia="宋体" w:hAnsi="Times New Roman" w:cs="Times New Roman" w:hint="eastAsia"/>
          <w:color w:val="000000" w:themeColor="text1"/>
          <w:szCs w:val="21"/>
        </w:rPr>
        <w:t>30</w:t>
      </w:r>
      <w:r>
        <w:rPr>
          <w:rFonts w:ascii="Times New Roman" w:eastAsia="宋体" w:hAnsi="Times New Roman" w:cs="Times New Roman" w:hint="eastAsia"/>
          <w:color w:val="000000" w:themeColor="text1"/>
          <w:szCs w:val="21"/>
        </w:rPr>
        <w:t>°</w:t>
      </w:r>
      <w:r>
        <w:rPr>
          <w:rFonts w:ascii="宋体" w:eastAsia="宋体" w:hAnsi="宋体" w:cs="宋体" w:hint="eastAsia"/>
          <w:color w:val="000000" w:themeColor="text1"/>
          <w:szCs w:val="21"/>
        </w:rPr>
        <w:t>～</w:t>
      </w:r>
      <w:r>
        <w:rPr>
          <w:rFonts w:ascii="Times New Roman" w:eastAsia="宋体" w:hAnsi="Times New Roman" w:cs="Times New Roman" w:hint="eastAsia"/>
          <w:color w:val="000000" w:themeColor="text1"/>
          <w:szCs w:val="21"/>
        </w:rPr>
        <w:t>40</w:t>
      </w:r>
      <w:r>
        <w:rPr>
          <w:rFonts w:ascii="Times New Roman" w:eastAsia="宋体" w:hAnsi="Times New Roman" w:cs="Times New Roman" w:hint="eastAsia"/>
          <w:color w:val="000000" w:themeColor="text1"/>
          <w:szCs w:val="21"/>
        </w:rPr>
        <w:t>°背风向阳的平地、丘陵地、缓坡地、坡台地或排水良好</w:t>
      </w:r>
      <w:proofErr w:type="gramStart"/>
      <w:r>
        <w:rPr>
          <w:rFonts w:ascii="Times New Roman" w:eastAsia="宋体" w:hAnsi="Times New Roman" w:cs="Times New Roman" w:hint="eastAsia"/>
          <w:color w:val="000000" w:themeColor="text1"/>
          <w:szCs w:val="21"/>
        </w:rPr>
        <w:t>的沟坪地</w:t>
      </w:r>
      <w:proofErr w:type="gramEnd"/>
      <w:r>
        <w:rPr>
          <w:rFonts w:ascii="Times New Roman" w:eastAsia="宋体" w:hAnsi="Times New Roman" w:cs="Times New Roman" w:hint="eastAsia"/>
          <w:color w:val="000000" w:themeColor="text1"/>
          <w:szCs w:val="21"/>
        </w:rPr>
        <w:lastRenderedPageBreak/>
        <w:t>建园，坡度</w:t>
      </w:r>
      <w:bookmarkStart w:id="3" w:name="_Hlk119685221"/>
      <w:r>
        <w:rPr>
          <w:rFonts w:ascii="Times New Roman" w:eastAsia="宋体" w:hAnsi="Times New Roman" w:cs="Times New Roman" w:hint="eastAsia"/>
          <w:color w:val="000000" w:themeColor="text1"/>
          <w:szCs w:val="21"/>
        </w:rPr>
        <w:t>≤</w:t>
      </w:r>
      <w:bookmarkEnd w:id="3"/>
      <w:r>
        <w:rPr>
          <w:rFonts w:ascii="Times New Roman" w:eastAsia="宋体" w:hAnsi="Times New Roman" w:cs="Times New Roman" w:hint="eastAsia"/>
          <w:color w:val="000000" w:themeColor="text1"/>
          <w:szCs w:val="21"/>
        </w:rPr>
        <w:t>20</w:t>
      </w:r>
      <w:r>
        <w:rPr>
          <w:rFonts w:ascii="Times New Roman" w:eastAsia="宋体" w:hAnsi="Times New Roman" w:cs="Times New Roman" w:hint="eastAsia"/>
          <w:color w:val="000000" w:themeColor="text1"/>
          <w:szCs w:val="21"/>
        </w:rPr>
        <w:t>°，避免在山谷、沟槽、风口处及低洼地栽植。</w:t>
      </w:r>
    </w:p>
    <w:p w:rsidR="00A646F9" w:rsidRDefault="00781025">
      <w:pPr>
        <w:spacing w:beforeLines="50" w:before="156" w:afterLines="50" w:after="156" w:line="400" w:lineRule="exact"/>
        <w:rPr>
          <w:rFonts w:ascii="黑体" w:eastAsia="黑体" w:hAnsi="黑体" w:cs="Times New Roman"/>
          <w:color w:val="000000" w:themeColor="text1"/>
          <w:kern w:val="0"/>
          <w:szCs w:val="21"/>
        </w:rPr>
      </w:pPr>
      <w:r>
        <w:rPr>
          <w:rFonts w:ascii="黑体" w:eastAsia="黑体" w:hAnsi="黑体" w:cs="Times New Roman"/>
          <w:color w:val="000000" w:themeColor="text1"/>
          <w:kern w:val="0"/>
          <w:szCs w:val="21"/>
        </w:rPr>
        <w:t>3.3 土壤条件</w:t>
      </w:r>
    </w:p>
    <w:p w:rsidR="00A646F9" w:rsidRDefault="00781025">
      <w:pPr>
        <w:spacing w:line="400" w:lineRule="atLeast"/>
        <w:ind w:firstLineChars="200" w:firstLine="420"/>
        <w:contextualSpacing/>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选择土层深厚、疏松肥沃的砂壤土</w:t>
      </w:r>
      <w:r>
        <w:rPr>
          <w:rFonts w:ascii="宋体" w:eastAsia="宋体" w:hAnsi="宋体" w:cs="宋体" w:hint="eastAsia"/>
          <w:color w:val="000000" w:themeColor="text1"/>
          <w:szCs w:val="21"/>
        </w:rPr>
        <w:t>、轻壤土和壤</w:t>
      </w:r>
      <w:r>
        <w:rPr>
          <w:rFonts w:ascii="Times New Roman" w:eastAsia="宋体" w:hAnsi="Times New Roman" w:cs="Times New Roman" w:hint="eastAsia"/>
          <w:color w:val="000000" w:themeColor="text1"/>
          <w:szCs w:val="21"/>
        </w:rPr>
        <w:t>土，</w:t>
      </w:r>
      <w:r>
        <w:rPr>
          <w:rFonts w:ascii="Times New Roman" w:eastAsia="宋体" w:hAnsi="Times New Roman" w:cs="Times New Roman" w:hint="eastAsia"/>
          <w:color w:val="000000" w:themeColor="text1"/>
          <w:szCs w:val="21"/>
        </w:rPr>
        <w:t>pH 6.5</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8.0</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有机质含量</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1.0%</w:t>
      </w:r>
      <w:r>
        <w:rPr>
          <w:rFonts w:ascii="Times New Roman" w:eastAsia="宋体" w:hAnsi="Times New Roman" w:cs="Times New Roman"/>
          <w:color w:val="000000" w:themeColor="text1"/>
          <w:szCs w:val="21"/>
        </w:rPr>
        <w:t>，</w:t>
      </w:r>
      <w:r>
        <w:rPr>
          <w:rFonts w:ascii="Times New Roman" w:eastAsia="宋体" w:hAnsi="Times New Roman" w:cs="Times New Roman" w:hint="eastAsia"/>
          <w:color w:val="000000" w:themeColor="text1"/>
          <w:szCs w:val="21"/>
        </w:rPr>
        <w:t>地下水位≥</w:t>
      </w:r>
      <w:r>
        <w:rPr>
          <w:rFonts w:ascii="Times New Roman" w:eastAsia="宋体" w:hAnsi="Times New Roman" w:cs="Times New Roman"/>
          <w:color w:val="000000" w:themeColor="text1"/>
          <w:szCs w:val="21"/>
        </w:rPr>
        <w:t>2.0 m</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土层厚度</w:t>
      </w:r>
      <w:bookmarkStart w:id="4" w:name="_Hlk119781437"/>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1.</w:t>
      </w:r>
      <w:r>
        <w:rPr>
          <w:rFonts w:ascii="Times New Roman" w:eastAsia="宋体" w:hAnsi="Times New Roman" w:cs="Times New Roman"/>
          <w:color w:val="000000" w:themeColor="text1"/>
          <w:szCs w:val="21"/>
        </w:rPr>
        <w:t>0</w:t>
      </w:r>
      <w:r>
        <w:rPr>
          <w:rFonts w:ascii="Times New Roman" w:eastAsia="宋体" w:hAnsi="Times New Roman" w:cs="Times New Roman" w:hint="eastAsia"/>
          <w:color w:val="000000" w:themeColor="text1"/>
          <w:szCs w:val="21"/>
        </w:rPr>
        <w:t xml:space="preserve"> m</w:t>
      </w:r>
      <w:bookmarkEnd w:id="4"/>
      <w:r>
        <w:rPr>
          <w:rFonts w:ascii="Times New Roman" w:eastAsia="宋体" w:hAnsi="Times New Roman" w:cs="Times New Roman"/>
          <w:color w:val="000000" w:themeColor="text1"/>
          <w:szCs w:val="21"/>
        </w:rPr>
        <w:t>，灌溉方便</w:t>
      </w:r>
      <w:r>
        <w:rPr>
          <w:rFonts w:ascii="Times New Roman" w:eastAsia="宋体" w:hAnsi="Times New Roman" w:cs="Times New Roman" w:hint="eastAsia"/>
          <w:color w:val="000000" w:themeColor="text1"/>
          <w:szCs w:val="21"/>
        </w:rPr>
        <w:t>的地块</w:t>
      </w:r>
      <w:r>
        <w:rPr>
          <w:rFonts w:ascii="Times New Roman" w:eastAsia="宋体" w:hAnsi="Times New Roman" w:cs="Times New Roman"/>
          <w:color w:val="000000" w:themeColor="text1"/>
          <w:szCs w:val="21"/>
        </w:rPr>
        <w:t>。</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3.4 气候条件</w:t>
      </w:r>
    </w:p>
    <w:p w:rsidR="00A646F9" w:rsidRDefault="00781025">
      <w:pPr>
        <w:spacing w:line="400" w:lineRule="atLeast"/>
        <w:ind w:firstLineChars="200" w:firstLine="420"/>
        <w:contextualSpacing/>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年平均气温</w:t>
      </w:r>
      <w:r>
        <w:rPr>
          <w:rFonts w:ascii="Times New Roman" w:eastAsia="宋体" w:hAnsi="Times New Roman" w:cs="Times New Roman" w:hint="eastAsia"/>
          <w:color w:val="000000" w:themeColor="text1"/>
          <w:szCs w:val="21"/>
        </w:rPr>
        <w:t xml:space="preserve">10 </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 xml:space="preserve">16 </w:t>
      </w:r>
      <w:r>
        <w:rPr>
          <w:rFonts w:ascii="Times New Roman" w:eastAsia="宋体" w:hAnsi="Times New Roman" w:cs="Times New Roman" w:hint="eastAsia"/>
          <w:color w:val="000000" w:themeColor="text1"/>
          <w:szCs w:val="21"/>
        </w:rPr>
        <w:t>℃，绝对最低温度≥－</w:t>
      </w:r>
      <w:r>
        <w:rPr>
          <w:rFonts w:ascii="Times New Roman" w:eastAsia="宋体" w:hAnsi="Times New Roman" w:cs="Times New Roman" w:hint="eastAsia"/>
          <w:color w:val="000000" w:themeColor="text1"/>
          <w:szCs w:val="21"/>
        </w:rPr>
        <w:t xml:space="preserve">20 </w:t>
      </w:r>
      <w:r>
        <w:rPr>
          <w:rFonts w:ascii="Times New Roman" w:eastAsia="宋体" w:hAnsi="Times New Roman" w:cs="Times New Roman" w:hint="eastAsia"/>
          <w:color w:val="000000" w:themeColor="text1"/>
          <w:szCs w:val="21"/>
        </w:rPr>
        <w:t>℃，绝对最高温度</w:t>
      </w:r>
      <w:bookmarkStart w:id="5" w:name="_Hlk119704308"/>
      <w:r>
        <w:rPr>
          <w:rFonts w:ascii="Times New Roman" w:eastAsia="宋体" w:hAnsi="Times New Roman" w:cs="Times New Roman" w:hint="eastAsia"/>
          <w:color w:val="000000" w:themeColor="text1"/>
          <w:szCs w:val="21"/>
        </w:rPr>
        <w:t>≤</w:t>
      </w:r>
      <w:bookmarkEnd w:id="5"/>
      <w:r>
        <w:rPr>
          <w:rFonts w:ascii="Times New Roman" w:eastAsia="宋体" w:hAnsi="Times New Roman" w:cs="Times New Roman" w:hint="eastAsia"/>
          <w:color w:val="000000" w:themeColor="text1"/>
          <w:szCs w:val="21"/>
        </w:rPr>
        <w:t xml:space="preserve">40 </w:t>
      </w:r>
      <w:r>
        <w:rPr>
          <w:rFonts w:ascii="Times New Roman" w:eastAsia="宋体" w:hAnsi="Times New Roman" w:cs="Times New Roman" w:hint="eastAsia"/>
          <w:color w:val="000000" w:themeColor="text1"/>
          <w:szCs w:val="21"/>
        </w:rPr>
        <w:t>℃，无霜期</w:t>
      </w:r>
      <w:r>
        <w:rPr>
          <w:rFonts w:ascii="Times New Roman" w:eastAsia="宋体" w:hAnsi="Times New Roman" w:cs="Times New Roman" w:hint="eastAsia"/>
          <w:color w:val="000000" w:themeColor="text1"/>
          <w:szCs w:val="21"/>
        </w:rPr>
        <w:t>1</w:t>
      </w:r>
      <w:r>
        <w:rPr>
          <w:rFonts w:ascii="Times New Roman" w:eastAsia="宋体" w:hAnsi="Times New Roman" w:cs="Times New Roman"/>
          <w:color w:val="000000" w:themeColor="text1"/>
          <w:szCs w:val="21"/>
        </w:rPr>
        <w:t>8</w:t>
      </w:r>
      <w:r>
        <w:rPr>
          <w:rFonts w:ascii="Times New Roman" w:eastAsia="宋体" w:hAnsi="Times New Roman" w:cs="Times New Roman" w:hint="eastAsia"/>
          <w:color w:val="000000" w:themeColor="text1"/>
          <w:szCs w:val="21"/>
        </w:rPr>
        <w:t>0 d</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240 d</w:t>
      </w:r>
      <w:r>
        <w:rPr>
          <w:rFonts w:ascii="Times New Roman" w:eastAsia="宋体" w:hAnsi="Times New Roman" w:cs="Times New Roman" w:hint="eastAsia"/>
          <w:color w:val="000000" w:themeColor="text1"/>
          <w:szCs w:val="21"/>
        </w:rPr>
        <w:t>，全年日照时数≥</w:t>
      </w:r>
      <w:r>
        <w:rPr>
          <w:rFonts w:ascii="Times New Roman" w:eastAsia="宋体" w:hAnsi="Times New Roman" w:cs="Times New Roman" w:hint="eastAsia"/>
          <w:color w:val="000000" w:themeColor="text1"/>
          <w:szCs w:val="21"/>
        </w:rPr>
        <w:t>2000 h</w:t>
      </w:r>
      <w:r>
        <w:rPr>
          <w:rFonts w:ascii="Times New Roman" w:eastAsia="宋体" w:hAnsi="Times New Roman" w:cs="Times New Roman" w:hint="eastAsia"/>
          <w:color w:val="000000" w:themeColor="text1"/>
          <w:szCs w:val="21"/>
        </w:rPr>
        <w:t>，年降水量</w:t>
      </w:r>
      <w:r>
        <w:rPr>
          <w:rFonts w:ascii="Times New Roman" w:eastAsia="宋体" w:hAnsi="Times New Roman" w:cs="Times New Roman" w:hint="eastAsia"/>
          <w:color w:val="000000" w:themeColor="text1"/>
          <w:szCs w:val="21"/>
        </w:rPr>
        <w:t>400 mm</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1000 mm</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 xml:space="preserve">10 </w:t>
      </w:r>
      <w:r>
        <w:rPr>
          <w:rFonts w:ascii="Times New Roman" w:eastAsia="宋体" w:hAnsi="Times New Roman" w:cs="Times New Roman" w:hint="eastAsia"/>
          <w:color w:val="000000" w:themeColor="text1"/>
          <w:szCs w:val="21"/>
        </w:rPr>
        <w:t>℃以上年有效积温≥</w:t>
      </w:r>
      <w:r>
        <w:rPr>
          <w:rFonts w:ascii="Times New Roman" w:eastAsia="宋体" w:hAnsi="Times New Roman" w:cs="Times New Roman" w:hint="eastAsia"/>
          <w:color w:val="000000" w:themeColor="text1"/>
          <w:szCs w:val="21"/>
        </w:rPr>
        <w:t xml:space="preserve">3000 </w:t>
      </w:r>
      <w:r>
        <w:rPr>
          <w:rFonts w:ascii="Times New Roman" w:eastAsia="宋体" w:hAnsi="Times New Roman" w:cs="Times New Roman" w:hint="eastAsia"/>
          <w:color w:val="000000" w:themeColor="text1"/>
          <w:szCs w:val="21"/>
        </w:rPr>
        <w:t>℃。</w:t>
      </w:r>
    </w:p>
    <w:p w:rsidR="00A646F9" w:rsidRDefault="00781025">
      <w:pPr>
        <w:pStyle w:val="2"/>
        <w:spacing w:beforeLines="100" w:before="312" w:afterLines="100" w:after="312"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4 品种选择</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 xml:space="preserve">4.1 </w:t>
      </w:r>
      <w:bookmarkStart w:id="6" w:name="_Hlk119686985"/>
      <w:r>
        <w:rPr>
          <w:rFonts w:ascii="黑体" w:hAnsi="黑体" w:cs="黑体" w:hint="eastAsia"/>
          <w:b w:val="0"/>
          <w:bCs/>
          <w:color w:val="000000" w:themeColor="text1"/>
          <w:sz w:val="21"/>
          <w:szCs w:val="21"/>
        </w:rPr>
        <w:t>选择</w:t>
      </w:r>
      <w:bookmarkEnd w:id="6"/>
      <w:r>
        <w:rPr>
          <w:rFonts w:ascii="黑体" w:hAnsi="黑体" w:cs="黑体" w:hint="eastAsia"/>
          <w:b w:val="0"/>
          <w:bCs/>
          <w:color w:val="000000" w:themeColor="text1"/>
          <w:sz w:val="21"/>
          <w:szCs w:val="21"/>
        </w:rPr>
        <w:t>原则</w:t>
      </w:r>
    </w:p>
    <w:p w:rsidR="00A646F9" w:rsidRDefault="00781025">
      <w:pPr>
        <w:tabs>
          <w:tab w:val="left" w:pos="142"/>
        </w:tabs>
        <w:spacing w:beforeLines="50" w:before="156" w:afterLines="50" w:after="156" w:line="400" w:lineRule="atLeast"/>
        <w:ind w:left="-1" w:firstLineChars="200" w:firstLine="420"/>
        <w:contextualSpacing/>
        <w:rPr>
          <w:rFonts w:ascii="宋体" w:hAnsi="宋体" w:cs="宋体"/>
          <w:color w:val="000000" w:themeColor="text1"/>
          <w:szCs w:val="21"/>
        </w:rPr>
      </w:pPr>
      <w:r>
        <w:rPr>
          <w:rFonts w:ascii="宋体" w:eastAsia="宋体" w:hAnsi="宋体" w:cs="宋体" w:hint="eastAsia"/>
          <w:color w:val="000000" w:themeColor="text1"/>
        </w:rPr>
        <w:t>选择适应性广的优质、高产、抗病、抗寒、抗逆性强的品种。</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4.2 良种选择</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根据当地光热、水肥和管理条件选择适宜的良种，如清香、元林、</w:t>
      </w:r>
      <w:proofErr w:type="gramStart"/>
      <w:r>
        <w:rPr>
          <w:rFonts w:ascii="宋体" w:eastAsia="宋体" w:hAnsi="宋体" w:cs="宋体" w:hint="eastAsia"/>
          <w:color w:val="000000" w:themeColor="text1"/>
          <w:szCs w:val="21"/>
        </w:rPr>
        <w:t>红仁核桃</w:t>
      </w:r>
      <w:proofErr w:type="gramEnd"/>
      <w:r>
        <w:rPr>
          <w:rFonts w:ascii="宋体" w:eastAsia="宋体" w:hAnsi="宋体" w:cs="宋体" w:hint="eastAsia"/>
          <w:color w:val="000000" w:themeColor="text1"/>
          <w:szCs w:val="21"/>
        </w:rPr>
        <w:t>、强特勒、香玲、辽宁1号、辽宁</w:t>
      </w:r>
      <w:r>
        <w:rPr>
          <w:rFonts w:ascii="宋体" w:eastAsia="宋体" w:hAnsi="宋体" w:cs="宋体"/>
          <w:color w:val="000000" w:themeColor="text1"/>
          <w:szCs w:val="21"/>
        </w:rPr>
        <w:t>4号、</w:t>
      </w:r>
      <w:r>
        <w:rPr>
          <w:rFonts w:ascii="宋体" w:eastAsia="宋体" w:hAnsi="宋体" w:cs="宋体" w:hint="eastAsia"/>
          <w:color w:val="000000" w:themeColor="text1"/>
          <w:szCs w:val="21"/>
        </w:rPr>
        <w:t>土</w:t>
      </w:r>
      <w:proofErr w:type="gramStart"/>
      <w:r>
        <w:rPr>
          <w:rFonts w:ascii="宋体" w:eastAsia="宋体" w:hAnsi="宋体" w:cs="宋体" w:hint="eastAsia"/>
          <w:color w:val="000000" w:themeColor="text1"/>
          <w:szCs w:val="21"/>
        </w:rPr>
        <w:t>莱</w:t>
      </w:r>
      <w:proofErr w:type="gramEnd"/>
      <w:r>
        <w:rPr>
          <w:rFonts w:ascii="宋体" w:eastAsia="宋体" w:hAnsi="宋体" w:cs="宋体" w:hint="eastAsia"/>
          <w:color w:val="000000" w:themeColor="text1"/>
          <w:szCs w:val="21"/>
        </w:rPr>
        <w:t>尔、维纳、</w:t>
      </w:r>
      <w:proofErr w:type="gramStart"/>
      <w:r>
        <w:rPr>
          <w:rFonts w:ascii="宋体" w:eastAsia="宋体" w:hAnsi="宋体" w:cs="宋体" w:hint="eastAsia"/>
          <w:color w:val="000000" w:themeColor="text1"/>
          <w:szCs w:val="21"/>
        </w:rPr>
        <w:t>陕核</w:t>
      </w:r>
      <w:r>
        <w:rPr>
          <w:rFonts w:ascii="宋体" w:eastAsia="宋体" w:hAnsi="宋体" w:cs="宋体"/>
          <w:color w:val="000000" w:themeColor="text1"/>
          <w:szCs w:val="21"/>
        </w:rPr>
        <w:t>5号</w:t>
      </w:r>
      <w:proofErr w:type="gramEnd"/>
      <w:r>
        <w:rPr>
          <w:rFonts w:ascii="宋体" w:eastAsia="宋体" w:hAnsi="宋体" w:cs="宋体"/>
          <w:color w:val="000000" w:themeColor="text1"/>
          <w:szCs w:val="21"/>
        </w:rPr>
        <w:t>、</w:t>
      </w:r>
      <w:r>
        <w:rPr>
          <w:rFonts w:ascii="宋体" w:eastAsia="宋体" w:hAnsi="宋体" w:cs="宋体" w:hint="eastAsia"/>
          <w:color w:val="000000" w:themeColor="text1"/>
          <w:szCs w:val="21"/>
        </w:rPr>
        <w:t>盐源早、硕星、</w:t>
      </w:r>
      <w:proofErr w:type="gramStart"/>
      <w:r>
        <w:rPr>
          <w:rFonts w:ascii="宋体" w:eastAsia="宋体" w:hAnsi="宋体" w:cs="宋体" w:hint="eastAsia"/>
          <w:color w:val="000000" w:themeColor="text1"/>
          <w:szCs w:val="21"/>
        </w:rPr>
        <w:t>旺核2号</w:t>
      </w:r>
      <w:proofErr w:type="gramEnd"/>
      <w:r>
        <w:rPr>
          <w:rFonts w:ascii="宋体" w:eastAsia="宋体" w:hAnsi="宋体" w:cs="宋体" w:hint="eastAsia"/>
          <w:color w:val="000000" w:themeColor="text1"/>
          <w:szCs w:val="21"/>
        </w:rPr>
        <w:t>、利丰等。栽植苗木选择良种嫁接苗，质量要达到Ⅰ级</w:t>
      </w:r>
      <w:r>
        <w:rPr>
          <w:rFonts w:ascii="宋体" w:eastAsia="宋体" w:hAnsi="宋体" w:cs="宋体"/>
          <w:color w:val="000000" w:themeColor="text1"/>
          <w:szCs w:val="21"/>
        </w:rPr>
        <w:t>以上。</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4.3 品种配置</w:t>
      </w:r>
    </w:p>
    <w:p w:rsidR="00A646F9" w:rsidRDefault="00781025">
      <w:pPr>
        <w:spacing w:beforeLines="50" w:before="156" w:afterLines="50" w:after="156" w:line="400" w:lineRule="atLeast"/>
        <w:ind w:firstLineChars="200" w:firstLine="420"/>
        <w:contextualSpacing/>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主</w:t>
      </w:r>
      <w:r>
        <w:rPr>
          <w:rFonts w:ascii="宋体" w:eastAsia="宋体" w:hAnsi="宋体" w:cs="宋体" w:hint="eastAsia"/>
          <w:color w:val="000000" w:themeColor="text1"/>
          <w:szCs w:val="21"/>
        </w:rPr>
        <w:t>栽品种与授粉良种的比例为（8</w:t>
      </w:r>
      <w:r>
        <w:rPr>
          <w:rFonts w:ascii="Times New Roman" w:eastAsia="宋体" w:hAnsi="Times New Roman" w:cs="Times New Roman"/>
          <w:color w:val="000000" w:themeColor="text1"/>
          <w:szCs w:val="21"/>
        </w:rPr>
        <w:t>～</w:t>
      </w:r>
      <w:r>
        <w:rPr>
          <w:rFonts w:ascii="Times New Roman" w:eastAsia="宋体" w:hAnsi="Times New Roman" w:cs="Times New Roman" w:hint="eastAsia"/>
          <w:color w:val="000000" w:themeColor="text1"/>
          <w:szCs w:val="21"/>
        </w:rPr>
        <w:t>10</w:t>
      </w:r>
      <w:r>
        <w:rPr>
          <w:rFonts w:ascii="宋体" w:eastAsia="宋体" w:hAnsi="宋体" w:cs="宋体" w:hint="eastAsia"/>
          <w:color w:val="000000" w:themeColor="text1"/>
          <w:szCs w:val="21"/>
        </w:rPr>
        <w:t>）：1，在同一地块主栽品种不宜超过3个。</w:t>
      </w:r>
    </w:p>
    <w:p w:rsidR="00A646F9" w:rsidRDefault="00781025">
      <w:pPr>
        <w:pStyle w:val="2"/>
        <w:tabs>
          <w:tab w:val="left" w:pos="3512"/>
        </w:tabs>
        <w:spacing w:beforeLines="100" w:before="312" w:afterLines="100" w:after="312"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5</w:t>
      </w:r>
      <w:r>
        <w:rPr>
          <w:rFonts w:ascii="黑体" w:hAnsi="黑体" w:cs="黑体"/>
          <w:b w:val="0"/>
          <w:bCs/>
          <w:color w:val="000000" w:themeColor="text1"/>
          <w:sz w:val="21"/>
          <w:szCs w:val="21"/>
        </w:rPr>
        <w:t xml:space="preserve"> </w:t>
      </w:r>
      <w:r>
        <w:rPr>
          <w:rFonts w:ascii="黑体" w:hAnsi="黑体" w:cs="黑体" w:hint="eastAsia"/>
          <w:b w:val="0"/>
          <w:bCs/>
          <w:color w:val="000000" w:themeColor="text1"/>
          <w:sz w:val="21"/>
          <w:szCs w:val="21"/>
        </w:rPr>
        <w:t xml:space="preserve">栽植 </w:t>
      </w:r>
      <w:r>
        <w:rPr>
          <w:rFonts w:ascii="黑体" w:hAnsi="黑体" w:cs="黑体"/>
          <w:b w:val="0"/>
          <w:bCs/>
          <w:color w:val="000000" w:themeColor="text1"/>
          <w:sz w:val="21"/>
          <w:szCs w:val="21"/>
        </w:rPr>
        <w:tab/>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b w:val="0"/>
          <w:bCs/>
          <w:color w:val="000000" w:themeColor="text1"/>
          <w:sz w:val="21"/>
          <w:szCs w:val="21"/>
        </w:rPr>
        <w:t>5</w:t>
      </w:r>
      <w:r>
        <w:rPr>
          <w:rFonts w:ascii="黑体" w:hAnsi="黑体" w:cs="黑体" w:hint="eastAsia"/>
          <w:b w:val="0"/>
          <w:bCs/>
          <w:color w:val="000000" w:themeColor="text1"/>
          <w:sz w:val="21"/>
          <w:szCs w:val="21"/>
        </w:rPr>
        <w:t>.1 建园整地</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Times New Roman" w:eastAsia="宋体" w:hAnsi="Times New Roman" w:cs="Times New Roman" w:hint="eastAsia"/>
          <w:color w:val="000000" w:themeColor="text1"/>
          <w:szCs w:val="21"/>
        </w:rPr>
        <w:t>核桃</w:t>
      </w:r>
      <w:r>
        <w:rPr>
          <w:rFonts w:ascii="Times New Roman" w:eastAsia="宋体" w:hAnsi="Times New Roman" w:cs="Times New Roman"/>
          <w:color w:val="000000" w:themeColor="text1"/>
          <w:szCs w:val="21"/>
        </w:rPr>
        <w:t>建园，干旱、瘠薄的山台地应在当地雨季前整地结束，立地条件好的地块可随整地随栽植。</w:t>
      </w:r>
      <w:r>
        <w:rPr>
          <w:rFonts w:ascii="宋体" w:eastAsia="宋体" w:hAnsi="宋体" w:cs="宋体" w:hint="eastAsia"/>
          <w:color w:val="000000" w:themeColor="text1"/>
          <w:szCs w:val="21"/>
        </w:rPr>
        <w:t>立地条件较好，适用于机械整地的平地或台田，栽植前挖沟宽和沟深均为0.8 m～1.0 m的栽植沟，沟长依园地情况而定；平地栽植挖长、宽、深均为0.8 m的树穴；缓坡地建园，沿等高线</w:t>
      </w:r>
      <w:proofErr w:type="gramStart"/>
      <w:r>
        <w:rPr>
          <w:rFonts w:ascii="宋体" w:eastAsia="宋体" w:hAnsi="宋体" w:cs="宋体" w:hint="eastAsia"/>
          <w:color w:val="000000" w:themeColor="text1"/>
          <w:szCs w:val="21"/>
        </w:rPr>
        <w:t>挖同样</w:t>
      </w:r>
      <w:proofErr w:type="gramEnd"/>
      <w:r>
        <w:rPr>
          <w:rFonts w:ascii="宋体" w:eastAsia="宋体" w:hAnsi="宋体" w:cs="宋体" w:hint="eastAsia"/>
          <w:color w:val="000000" w:themeColor="text1"/>
          <w:szCs w:val="21"/>
        </w:rPr>
        <w:t>规格的树穴，栽植后坡地逐步修改成梯田。苗木栽植前，将挖出的表土与足量有机肥（按1.0 t/</w:t>
      </w:r>
      <w:bookmarkStart w:id="7" w:name="_Hlk119686269"/>
      <w:r>
        <w:rPr>
          <w:rFonts w:ascii="宋体" w:eastAsia="宋体" w:hAnsi="宋体" w:cs="宋体" w:hint="eastAsia"/>
          <w:color w:val="000000" w:themeColor="text1"/>
          <w:szCs w:val="21"/>
        </w:rPr>
        <w:t>6</w:t>
      </w:r>
      <w:r>
        <w:rPr>
          <w:rFonts w:ascii="宋体" w:eastAsia="宋体" w:hAnsi="宋体" w:cs="宋体"/>
          <w:color w:val="000000" w:themeColor="text1"/>
          <w:szCs w:val="21"/>
        </w:rPr>
        <w:t>67 m</w:t>
      </w:r>
      <w:r>
        <w:rPr>
          <w:rFonts w:ascii="宋体" w:eastAsia="宋体" w:hAnsi="宋体" w:cs="宋体"/>
          <w:color w:val="000000" w:themeColor="text1"/>
          <w:szCs w:val="21"/>
          <w:vertAlign w:val="superscript"/>
        </w:rPr>
        <w:t>2</w:t>
      </w:r>
      <w:bookmarkEnd w:id="7"/>
      <w:r>
        <w:rPr>
          <w:rFonts w:ascii="宋体" w:eastAsia="宋体" w:hAnsi="宋体" w:cs="宋体" w:hint="eastAsia"/>
          <w:color w:val="000000" w:themeColor="text1"/>
          <w:szCs w:val="21"/>
        </w:rPr>
        <w:t>～2.0 t/6</w:t>
      </w:r>
      <w:r>
        <w:rPr>
          <w:rFonts w:ascii="宋体" w:eastAsia="宋体" w:hAnsi="宋体" w:cs="宋体"/>
          <w:color w:val="000000" w:themeColor="text1"/>
          <w:szCs w:val="21"/>
        </w:rPr>
        <w:t>67 m</w:t>
      </w:r>
      <w:r>
        <w:rPr>
          <w:rFonts w:ascii="宋体" w:eastAsia="宋体" w:hAnsi="宋体" w:cs="宋体"/>
          <w:color w:val="000000" w:themeColor="text1"/>
          <w:szCs w:val="21"/>
          <w:vertAlign w:val="superscript"/>
        </w:rPr>
        <w:t>2</w:t>
      </w:r>
      <w:r>
        <w:rPr>
          <w:rFonts w:ascii="宋体" w:eastAsia="宋体" w:hAnsi="宋体" w:cs="宋体" w:hint="eastAsia"/>
          <w:color w:val="000000" w:themeColor="text1"/>
          <w:szCs w:val="21"/>
        </w:rPr>
        <w:t>）施入混匀，回填穴中，待填至低于地表20 cm后，灌透水、沉实，覆土保墒。建园及栽植技术应符合LY/T 3004的要求。</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b w:val="0"/>
          <w:bCs/>
          <w:color w:val="000000" w:themeColor="text1"/>
          <w:sz w:val="21"/>
          <w:szCs w:val="21"/>
        </w:rPr>
        <w:t>5</w:t>
      </w:r>
      <w:r>
        <w:rPr>
          <w:rFonts w:ascii="黑体" w:hAnsi="黑体" w:cs="黑体" w:hint="eastAsia"/>
          <w:b w:val="0"/>
          <w:bCs/>
          <w:color w:val="000000" w:themeColor="text1"/>
          <w:sz w:val="21"/>
          <w:szCs w:val="21"/>
        </w:rPr>
        <w:t>.2 栽植</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color w:val="000000" w:themeColor="text1"/>
          <w:szCs w:val="21"/>
        </w:rPr>
        <w:t>5</w:t>
      </w:r>
      <w:r>
        <w:rPr>
          <w:rFonts w:ascii="黑体" w:eastAsia="黑体" w:hAnsi="黑体" w:cs="黑体" w:hint="eastAsia"/>
          <w:color w:val="000000" w:themeColor="text1"/>
          <w:szCs w:val="21"/>
        </w:rPr>
        <w:t>.2.1栽植时间</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春栽，宜在土壤解冻后至春季萌芽前；秋栽，宜在秋季落叶后至冬季上冻前。冬春严寒风大地区，适宜春栽。</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color w:val="000000" w:themeColor="text1"/>
          <w:szCs w:val="21"/>
        </w:rPr>
        <w:t>5</w:t>
      </w:r>
      <w:r>
        <w:rPr>
          <w:rFonts w:ascii="黑体" w:eastAsia="黑体" w:hAnsi="黑体" w:cs="黑体" w:hint="eastAsia"/>
          <w:color w:val="000000" w:themeColor="text1"/>
          <w:szCs w:val="21"/>
        </w:rPr>
        <w:t>.2.2 栽植密度</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color w:val="000000" w:themeColor="text1"/>
          <w:szCs w:val="21"/>
        </w:rPr>
        <w:t>5</w:t>
      </w:r>
      <w:r>
        <w:rPr>
          <w:rFonts w:ascii="黑体" w:eastAsia="黑体" w:hAnsi="黑体" w:cs="黑体" w:hint="eastAsia"/>
          <w:color w:val="000000" w:themeColor="text1"/>
          <w:szCs w:val="21"/>
        </w:rPr>
        <w:t>.2.2.1 纯园</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早实品种株</w:t>
      </w:r>
      <w:proofErr w:type="gramEnd"/>
      <w:r>
        <w:rPr>
          <w:rFonts w:ascii="宋体" w:eastAsia="宋体" w:hAnsi="宋体" w:cs="宋体" w:hint="eastAsia"/>
          <w:color w:val="000000" w:themeColor="text1"/>
          <w:szCs w:val="21"/>
        </w:rPr>
        <w:t>行距：（4 m～5 m）×（5 m～6 m），晚</w:t>
      </w:r>
      <w:proofErr w:type="gramStart"/>
      <w:r>
        <w:rPr>
          <w:rFonts w:ascii="宋体" w:eastAsia="宋体" w:hAnsi="宋体" w:cs="宋体" w:hint="eastAsia"/>
          <w:color w:val="000000" w:themeColor="text1"/>
          <w:szCs w:val="21"/>
        </w:rPr>
        <w:t>实品种株</w:t>
      </w:r>
      <w:proofErr w:type="gramEnd"/>
      <w:r>
        <w:rPr>
          <w:rFonts w:ascii="宋体" w:eastAsia="宋体" w:hAnsi="宋体" w:cs="宋体" w:hint="eastAsia"/>
          <w:color w:val="000000" w:themeColor="text1"/>
          <w:szCs w:val="21"/>
        </w:rPr>
        <w:t>行距：（6 m～8 m）×（10 m～12 m）。</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color w:val="000000" w:themeColor="text1"/>
          <w:szCs w:val="21"/>
        </w:rPr>
        <w:t>5</w:t>
      </w:r>
      <w:r>
        <w:rPr>
          <w:rFonts w:ascii="黑体" w:eastAsia="黑体" w:hAnsi="黑体" w:cs="黑体" w:hint="eastAsia"/>
          <w:color w:val="000000" w:themeColor="text1"/>
          <w:szCs w:val="21"/>
        </w:rPr>
        <w:t>.2.2.2 间作园</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早实品种株</w:t>
      </w:r>
      <w:proofErr w:type="gramEnd"/>
      <w:r>
        <w:rPr>
          <w:rFonts w:ascii="宋体" w:eastAsia="宋体" w:hAnsi="宋体" w:cs="宋体" w:hint="eastAsia"/>
          <w:color w:val="000000" w:themeColor="text1"/>
          <w:szCs w:val="21"/>
        </w:rPr>
        <w:t>行距：（5 m～6 m）×（6 m～8 m），晚</w:t>
      </w:r>
      <w:proofErr w:type="gramStart"/>
      <w:r>
        <w:rPr>
          <w:rFonts w:ascii="宋体" w:eastAsia="宋体" w:hAnsi="宋体" w:cs="宋体" w:hint="eastAsia"/>
          <w:color w:val="000000" w:themeColor="text1"/>
          <w:szCs w:val="21"/>
        </w:rPr>
        <w:t>实品种株</w:t>
      </w:r>
      <w:proofErr w:type="gramEnd"/>
      <w:r>
        <w:rPr>
          <w:rFonts w:ascii="宋体" w:eastAsia="宋体" w:hAnsi="宋体" w:cs="宋体" w:hint="eastAsia"/>
          <w:color w:val="000000" w:themeColor="text1"/>
          <w:szCs w:val="21"/>
        </w:rPr>
        <w:t>行距：（6 m～8 m）×（10 m～12 m）。</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color w:val="000000" w:themeColor="text1"/>
          <w:szCs w:val="21"/>
        </w:rPr>
        <w:t>5</w:t>
      </w:r>
      <w:r>
        <w:rPr>
          <w:rFonts w:ascii="黑体" w:eastAsia="黑体" w:hAnsi="黑体" w:cs="黑体" w:hint="eastAsia"/>
          <w:color w:val="000000" w:themeColor="text1"/>
          <w:szCs w:val="21"/>
        </w:rPr>
        <w:t>.2.3 栽植技术</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栽植前，对过长、受损根系进行修剪，修剪量＜总根系的1/3，苗木根部</w:t>
      </w:r>
      <w:proofErr w:type="gramStart"/>
      <w:r>
        <w:rPr>
          <w:rFonts w:ascii="宋体" w:eastAsia="宋体" w:hAnsi="宋体" w:cs="宋体" w:hint="eastAsia"/>
          <w:color w:val="000000" w:themeColor="text1"/>
          <w:szCs w:val="21"/>
        </w:rPr>
        <w:t>浸</w:t>
      </w:r>
      <w:proofErr w:type="gramEnd"/>
      <w:r>
        <w:rPr>
          <w:rFonts w:ascii="宋体" w:eastAsia="宋体" w:hAnsi="宋体" w:cs="宋体" w:hint="eastAsia"/>
          <w:color w:val="000000" w:themeColor="text1"/>
          <w:szCs w:val="21"/>
        </w:rPr>
        <w:t>泥浆水24 h。</w:t>
      </w:r>
      <w:r>
        <w:rPr>
          <w:rFonts w:ascii="Arial" w:eastAsia="宋体" w:hAnsi="Arial" w:cs="Arial" w:hint="eastAsia"/>
          <w:color w:val="000000" w:themeColor="text1"/>
          <w:szCs w:val="21"/>
        </w:rPr>
        <w:t>栽植时，将苗木置于穴内中央，做到栽植端正，根系舒展，边埋土边踏实，</w:t>
      </w:r>
      <w:r>
        <w:rPr>
          <w:rFonts w:ascii="宋体" w:eastAsia="宋体" w:hAnsi="宋体" w:cs="宋体" w:hint="eastAsia"/>
          <w:color w:val="000000" w:themeColor="text1"/>
          <w:szCs w:val="21"/>
        </w:rPr>
        <w:t>埋土深度以高出原</w:t>
      </w:r>
      <w:proofErr w:type="gramStart"/>
      <w:r>
        <w:rPr>
          <w:rFonts w:ascii="宋体" w:eastAsia="宋体" w:hAnsi="宋体" w:cs="宋体" w:hint="eastAsia"/>
          <w:color w:val="000000" w:themeColor="text1"/>
          <w:szCs w:val="21"/>
        </w:rPr>
        <w:t>根际土痕</w:t>
      </w:r>
      <w:proofErr w:type="gramEnd"/>
      <w:r>
        <w:rPr>
          <w:rFonts w:ascii="宋体" w:eastAsia="宋体" w:hAnsi="宋体" w:cs="宋体" w:hint="eastAsia"/>
          <w:color w:val="000000" w:themeColor="text1"/>
          <w:szCs w:val="21"/>
        </w:rPr>
        <w:t>2 cm～4 cm为宜。栽后修筑1.2 m</w:t>
      </w:r>
      <w:r>
        <w:rPr>
          <w:rFonts w:ascii="宋体" w:eastAsia="宋体" w:hAnsi="宋体" w:cs="宋体" w:hint="eastAsia"/>
          <w:color w:val="000000" w:themeColor="text1"/>
          <w:szCs w:val="21"/>
          <w:vertAlign w:val="superscript"/>
        </w:rPr>
        <w:t>2</w:t>
      </w:r>
      <w:r>
        <w:rPr>
          <w:rFonts w:ascii="宋体" w:eastAsia="宋体" w:hAnsi="宋体" w:cs="宋体" w:hint="eastAsia"/>
          <w:color w:val="000000" w:themeColor="text1"/>
          <w:szCs w:val="21"/>
        </w:rPr>
        <w:t>～1.5 m</w:t>
      </w:r>
      <w:r>
        <w:rPr>
          <w:rFonts w:ascii="宋体" w:eastAsia="宋体" w:hAnsi="宋体" w:cs="宋体" w:hint="eastAsia"/>
          <w:color w:val="000000" w:themeColor="text1"/>
          <w:szCs w:val="21"/>
          <w:vertAlign w:val="superscript"/>
        </w:rPr>
        <w:t>2</w:t>
      </w:r>
      <w:r>
        <w:rPr>
          <w:rFonts w:ascii="宋体" w:eastAsia="宋体" w:hAnsi="宋体" w:cs="宋体" w:hint="eastAsia"/>
          <w:color w:val="000000" w:themeColor="text1"/>
          <w:szCs w:val="21"/>
        </w:rPr>
        <w:t>的营养带。栽后立即灌足定根水，待水下渗后覆土保墒。灌水下渗后根颈与地面齐平。及时覆盖地膜。</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bookmarkStart w:id="8" w:name="_Hlk119687566"/>
      <w:r>
        <w:rPr>
          <w:rFonts w:ascii="黑体" w:hAnsi="黑体" w:cs="黑体"/>
          <w:b w:val="0"/>
          <w:bCs/>
          <w:color w:val="000000" w:themeColor="text1"/>
          <w:sz w:val="21"/>
          <w:szCs w:val="21"/>
        </w:rPr>
        <w:t>6</w:t>
      </w:r>
      <w:bookmarkEnd w:id="8"/>
      <w:r>
        <w:rPr>
          <w:rFonts w:ascii="黑体" w:hAnsi="黑体" w:cs="黑体" w:hint="eastAsia"/>
          <w:b w:val="0"/>
          <w:bCs/>
          <w:color w:val="000000" w:themeColor="text1"/>
          <w:sz w:val="21"/>
          <w:szCs w:val="21"/>
        </w:rPr>
        <w:t xml:space="preserve"> 早期间作</w:t>
      </w:r>
    </w:p>
    <w:p w:rsidR="00A646F9" w:rsidRDefault="00781025">
      <w:pPr>
        <w:spacing w:beforeLines="50" w:before="156" w:afterLines="50" w:after="156" w:line="400" w:lineRule="atLeast"/>
        <w:contextualSpacing/>
        <w:rPr>
          <w:rFonts w:ascii="黑体" w:eastAsia="黑体" w:hAnsi="黑体" w:cs="黑体"/>
          <w:bCs/>
          <w:color w:val="000000" w:themeColor="text1"/>
          <w:szCs w:val="21"/>
        </w:rPr>
      </w:pPr>
      <w:r>
        <w:rPr>
          <w:rFonts w:ascii="黑体" w:hAnsi="黑体" w:cs="黑体"/>
          <w:bCs/>
          <w:color w:val="000000" w:themeColor="text1"/>
          <w:szCs w:val="21"/>
        </w:rPr>
        <w:t>6</w:t>
      </w:r>
      <w:r>
        <w:rPr>
          <w:rFonts w:ascii="黑体" w:eastAsia="黑体" w:hAnsi="黑体" w:cs="黑体" w:hint="eastAsia"/>
          <w:bCs/>
          <w:color w:val="000000" w:themeColor="text1"/>
          <w:szCs w:val="21"/>
        </w:rPr>
        <w:t>.1 间作原则</w:t>
      </w:r>
    </w:p>
    <w:p w:rsidR="00A646F9" w:rsidRDefault="00781025">
      <w:pPr>
        <w:spacing w:beforeLines="50" w:before="156" w:afterLines="50" w:after="156" w:line="400" w:lineRule="atLeast"/>
        <w:ind w:firstLineChars="200" w:firstLine="420"/>
        <w:contextualSpacing/>
        <w:rPr>
          <w:rFonts w:ascii="宋体" w:eastAsia="宋体" w:hAnsi="宋体" w:cs="宋体"/>
          <w:bCs/>
          <w:color w:val="000000" w:themeColor="text1"/>
          <w:szCs w:val="21"/>
        </w:rPr>
      </w:pPr>
      <w:r>
        <w:rPr>
          <w:rFonts w:ascii="宋体" w:eastAsia="宋体" w:hAnsi="宋体" w:cs="宋体" w:hint="eastAsia"/>
          <w:bCs/>
          <w:color w:val="000000" w:themeColor="text1"/>
          <w:szCs w:val="21"/>
        </w:rPr>
        <w:t>宜选择矮生、不与核桃争肥水、不易发生同类病虫害的作物，作物高度</w:t>
      </w:r>
      <w:r>
        <w:rPr>
          <w:rFonts w:ascii="宋体" w:eastAsia="宋体" w:hAnsi="宋体" w:cs="宋体"/>
          <w:bCs/>
          <w:color w:val="000000" w:themeColor="text1"/>
          <w:szCs w:val="21"/>
        </w:rPr>
        <w:t>≤</w:t>
      </w:r>
      <w:r>
        <w:rPr>
          <w:rFonts w:ascii="宋体" w:eastAsia="宋体" w:hAnsi="宋体" w:cs="宋体" w:hint="eastAsia"/>
          <w:bCs/>
          <w:color w:val="000000" w:themeColor="text1"/>
          <w:szCs w:val="21"/>
        </w:rPr>
        <w:t>1.2 m，注意留出营养带。</w:t>
      </w:r>
    </w:p>
    <w:p w:rsidR="00A646F9" w:rsidRDefault="00781025">
      <w:pPr>
        <w:spacing w:beforeLines="50" w:before="156" w:afterLines="50" w:after="156" w:line="400" w:lineRule="atLeast"/>
        <w:contextualSpacing/>
        <w:rPr>
          <w:rFonts w:ascii="黑体" w:eastAsia="黑体" w:hAnsi="黑体" w:cs="黑体"/>
          <w:bCs/>
          <w:color w:val="000000" w:themeColor="text1"/>
          <w:szCs w:val="21"/>
        </w:rPr>
      </w:pPr>
      <w:r>
        <w:rPr>
          <w:rFonts w:ascii="黑体" w:hAnsi="黑体" w:cs="黑体"/>
          <w:bCs/>
          <w:color w:val="000000" w:themeColor="text1"/>
          <w:szCs w:val="21"/>
        </w:rPr>
        <w:t>6</w:t>
      </w:r>
      <w:r>
        <w:rPr>
          <w:rFonts w:ascii="黑体" w:eastAsia="黑体" w:hAnsi="黑体" w:cs="黑体" w:hint="eastAsia"/>
          <w:bCs/>
          <w:color w:val="000000" w:themeColor="text1"/>
          <w:szCs w:val="21"/>
        </w:rPr>
        <w:t>.</w:t>
      </w:r>
      <w:r>
        <w:rPr>
          <w:rFonts w:ascii="黑体" w:eastAsia="黑体" w:hAnsi="黑体" w:cs="黑体"/>
          <w:bCs/>
          <w:color w:val="000000" w:themeColor="text1"/>
          <w:szCs w:val="21"/>
        </w:rPr>
        <w:t>2</w:t>
      </w:r>
      <w:r>
        <w:rPr>
          <w:rFonts w:ascii="黑体" w:eastAsia="黑体" w:hAnsi="黑体" w:cs="黑体" w:hint="eastAsia"/>
          <w:bCs/>
          <w:color w:val="000000" w:themeColor="text1"/>
          <w:szCs w:val="21"/>
        </w:rPr>
        <w:t xml:space="preserve"> 间作模式</w:t>
      </w:r>
    </w:p>
    <w:p w:rsidR="00A646F9" w:rsidRDefault="00781025">
      <w:pPr>
        <w:spacing w:beforeLines="50" w:before="156" w:afterLines="50" w:after="156" w:line="400" w:lineRule="atLeast"/>
        <w:contextualSpacing/>
        <w:rPr>
          <w:rFonts w:ascii="黑体" w:eastAsia="黑体" w:hAnsi="黑体" w:cs="黑体"/>
          <w:bCs/>
          <w:color w:val="000000" w:themeColor="text1"/>
          <w:szCs w:val="21"/>
        </w:rPr>
      </w:pPr>
      <w:bookmarkStart w:id="9" w:name="_Hlk119687667"/>
      <w:r>
        <w:rPr>
          <w:rFonts w:ascii="黑体" w:hAnsi="黑体" w:cs="黑体"/>
          <w:bCs/>
          <w:color w:val="000000" w:themeColor="text1"/>
          <w:szCs w:val="21"/>
        </w:rPr>
        <w:t>6</w:t>
      </w:r>
      <w:r>
        <w:rPr>
          <w:rFonts w:ascii="黑体" w:eastAsia="黑体" w:hAnsi="黑体" w:cs="黑体" w:hint="eastAsia"/>
          <w:bCs/>
          <w:color w:val="000000" w:themeColor="text1"/>
          <w:szCs w:val="21"/>
        </w:rPr>
        <w:t>.</w:t>
      </w:r>
      <w:r>
        <w:rPr>
          <w:rFonts w:ascii="黑体" w:eastAsia="黑体" w:hAnsi="黑体" w:cs="黑体"/>
          <w:bCs/>
          <w:color w:val="000000" w:themeColor="text1"/>
          <w:szCs w:val="21"/>
        </w:rPr>
        <w:t>2</w:t>
      </w:r>
      <w:bookmarkEnd w:id="9"/>
      <w:r>
        <w:rPr>
          <w:rFonts w:ascii="黑体" w:eastAsia="黑体" w:hAnsi="黑体" w:cs="黑体" w:hint="eastAsia"/>
          <w:bCs/>
          <w:color w:val="000000" w:themeColor="text1"/>
          <w:szCs w:val="21"/>
        </w:rPr>
        <w:t>.1 果粮间作</w:t>
      </w:r>
    </w:p>
    <w:p w:rsidR="00A646F9" w:rsidRDefault="00781025">
      <w:pPr>
        <w:spacing w:beforeLines="50" w:before="156" w:afterLines="50" w:after="156" w:line="400" w:lineRule="atLeast"/>
        <w:ind w:firstLineChars="200" w:firstLine="420"/>
        <w:contextualSpacing/>
        <w:rPr>
          <w:rFonts w:ascii="宋体" w:eastAsia="宋体" w:hAnsi="宋体" w:cs="宋体"/>
          <w:bCs/>
          <w:color w:val="000000" w:themeColor="text1"/>
          <w:szCs w:val="21"/>
        </w:rPr>
      </w:pPr>
      <w:r>
        <w:rPr>
          <w:rFonts w:ascii="宋体" w:eastAsia="宋体" w:hAnsi="宋体" w:cs="宋体" w:hint="eastAsia"/>
          <w:bCs/>
          <w:color w:val="000000" w:themeColor="text1"/>
          <w:szCs w:val="21"/>
        </w:rPr>
        <w:t>主要作物有豆类、马铃薯、谷物、油菜、红薯、花生等。</w:t>
      </w:r>
    </w:p>
    <w:p w:rsidR="00A646F9" w:rsidRDefault="00781025">
      <w:pPr>
        <w:spacing w:beforeLines="50" w:before="156" w:afterLines="50" w:after="156" w:line="400" w:lineRule="atLeast"/>
        <w:contextualSpacing/>
        <w:rPr>
          <w:rFonts w:ascii="宋体" w:eastAsia="宋体" w:hAnsi="宋体" w:cs="宋体"/>
          <w:bCs/>
          <w:color w:val="000000" w:themeColor="text1"/>
          <w:szCs w:val="21"/>
        </w:rPr>
      </w:pPr>
      <w:r>
        <w:rPr>
          <w:rFonts w:ascii="黑体" w:hAnsi="黑体" w:cs="黑体"/>
          <w:bCs/>
          <w:color w:val="000000" w:themeColor="text1"/>
          <w:szCs w:val="21"/>
        </w:rPr>
        <w:t>6</w:t>
      </w:r>
      <w:r>
        <w:rPr>
          <w:rFonts w:ascii="黑体" w:eastAsia="黑体" w:hAnsi="黑体" w:cs="黑体" w:hint="eastAsia"/>
          <w:bCs/>
          <w:color w:val="000000" w:themeColor="text1"/>
          <w:szCs w:val="21"/>
        </w:rPr>
        <w:t>.</w:t>
      </w:r>
      <w:r>
        <w:rPr>
          <w:rFonts w:ascii="黑体" w:eastAsia="黑体" w:hAnsi="黑体" w:cs="黑体"/>
          <w:bCs/>
          <w:color w:val="000000" w:themeColor="text1"/>
          <w:szCs w:val="21"/>
        </w:rPr>
        <w:t>2</w:t>
      </w:r>
      <w:r>
        <w:rPr>
          <w:rFonts w:ascii="黑体" w:eastAsia="黑体" w:hAnsi="黑体" w:cs="黑体" w:hint="eastAsia"/>
          <w:bCs/>
          <w:color w:val="000000" w:themeColor="text1"/>
          <w:szCs w:val="21"/>
        </w:rPr>
        <w:t>.2 果药间作</w:t>
      </w:r>
    </w:p>
    <w:p w:rsidR="00A646F9" w:rsidRDefault="00781025">
      <w:pPr>
        <w:spacing w:beforeLines="50" w:before="156" w:afterLines="50" w:after="156" w:line="400" w:lineRule="atLeast"/>
        <w:ind w:firstLineChars="200" w:firstLine="420"/>
        <w:contextualSpacing/>
        <w:rPr>
          <w:rFonts w:ascii="宋体" w:eastAsia="宋体" w:hAnsi="宋体" w:cs="宋体"/>
          <w:bCs/>
          <w:color w:val="000000" w:themeColor="text1"/>
          <w:szCs w:val="21"/>
        </w:rPr>
      </w:pPr>
      <w:r>
        <w:rPr>
          <w:rFonts w:ascii="宋体" w:eastAsia="宋体" w:hAnsi="宋体" w:cs="宋体" w:hint="eastAsia"/>
          <w:bCs/>
          <w:color w:val="000000" w:themeColor="text1"/>
          <w:szCs w:val="21"/>
        </w:rPr>
        <w:t>主要药材有丹参、板蓝根、柴胡、生地、桔梗、薄荷等。</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hAnsi="黑体" w:cs="黑体"/>
          <w:bCs/>
          <w:color w:val="000000" w:themeColor="text1"/>
          <w:szCs w:val="21"/>
        </w:rPr>
        <w:t>6</w:t>
      </w:r>
      <w:r>
        <w:rPr>
          <w:rFonts w:ascii="黑体" w:eastAsia="黑体" w:hAnsi="黑体" w:cs="黑体" w:hint="eastAsia"/>
          <w:bCs/>
          <w:color w:val="000000" w:themeColor="text1"/>
          <w:szCs w:val="21"/>
        </w:rPr>
        <w:t>.</w:t>
      </w:r>
      <w:r>
        <w:rPr>
          <w:rFonts w:ascii="黑体" w:eastAsia="黑体" w:hAnsi="黑体" w:cs="黑体"/>
          <w:bCs/>
          <w:color w:val="000000" w:themeColor="text1"/>
          <w:szCs w:val="21"/>
        </w:rPr>
        <w:t>2</w:t>
      </w:r>
      <w:r>
        <w:rPr>
          <w:rFonts w:ascii="黑体" w:eastAsia="黑体" w:hAnsi="黑体" w:cs="黑体" w:hint="eastAsia"/>
          <w:bCs/>
          <w:color w:val="000000" w:themeColor="text1"/>
          <w:szCs w:val="21"/>
        </w:rPr>
        <w:t>.3 果草间</w:t>
      </w:r>
      <w:r>
        <w:rPr>
          <w:rFonts w:ascii="黑体" w:eastAsia="黑体" w:hAnsi="黑体" w:cs="黑体" w:hint="eastAsia"/>
          <w:color w:val="000000" w:themeColor="text1"/>
          <w:szCs w:val="21"/>
        </w:rPr>
        <w:t>作</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主要种植长柔毛野豌豆、二月兰、鼠茅草、田菁、乌豇豆、绿豆、车轴草、黑麦草、羊角豆等夏季绿肥作物。</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7 田间管理</w:t>
      </w:r>
    </w:p>
    <w:p w:rsidR="00A646F9" w:rsidRDefault="00781025">
      <w:pPr>
        <w:spacing w:line="400" w:lineRule="exact"/>
        <w:rPr>
          <w:rFonts w:ascii="黑体" w:eastAsia="黑体" w:hAnsi="黑体" w:cs="Times New Roman"/>
          <w:color w:val="000000" w:themeColor="text1"/>
          <w:kern w:val="0"/>
          <w:szCs w:val="21"/>
        </w:rPr>
      </w:pPr>
      <w:r>
        <w:rPr>
          <w:rFonts w:ascii="黑体" w:eastAsia="黑体" w:hAnsi="黑体" w:cs="Times New Roman" w:hint="eastAsia"/>
          <w:color w:val="000000" w:themeColor="text1"/>
          <w:kern w:val="0"/>
          <w:szCs w:val="21"/>
        </w:rPr>
        <w:t>7.1</w:t>
      </w:r>
      <w:r>
        <w:rPr>
          <w:rFonts w:ascii="黑体" w:eastAsia="黑体" w:hAnsi="黑体" w:cs="Times New Roman"/>
          <w:color w:val="000000" w:themeColor="text1"/>
          <w:kern w:val="0"/>
          <w:szCs w:val="21"/>
        </w:rPr>
        <w:t xml:space="preserve"> 栽后管理</w:t>
      </w:r>
    </w:p>
    <w:p w:rsidR="00A646F9" w:rsidRDefault="00781025">
      <w:pPr>
        <w:spacing w:line="400" w:lineRule="exact"/>
        <w:contextualSpacing/>
        <w:rPr>
          <w:rFonts w:ascii="黑体" w:eastAsia="黑体" w:hAnsi="黑体" w:cs="黑体"/>
          <w:color w:val="000000" w:themeColor="text1"/>
          <w:kern w:val="0"/>
          <w:szCs w:val="21"/>
        </w:rPr>
      </w:pPr>
      <w:r>
        <w:rPr>
          <w:rFonts w:ascii="黑体" w:eastAsia="黑体" w:hAnsi="黑体" w:cs="黑体" w:hint="eastAsia"/>
          <w:color w:val="000000" w:themeColor="text1"/>
          <w:kern w:val="0"/>
          <w:szCs w:val="21"/>
        </w:rPr>
        <w:t>7.1.1 定</w:t>
      </w:r>
      <w:proofErr w:type="gramStart"/>
      <w:r>
        <w:rPr>
          <w:rFonts w:ascii="黑体" w:eastAsia="黑体" w:hAnsi="黑体" w:cs="黑体" w:hint="eastAsia"/>
          <w:color w:val="000000" w:themeColor="text1"/>
          <w:kern w:val="0"/>
          <w:szCs w:val="21"/>
        </w:rPr>
        <w:t>干除萌</w:t>
      </w:r>
      <w:proofErr w:type="gramEnd"/>
    </w:p>
    <w:p w:rsidR="00A646F9" w:rsidRDefault="00781025">
      <w:pPr>
        <w:spacing w:line="400" w:lineRule="exact"/>
        <w:ind w:firstLineChars="200" w:firstLine="420"/>
        <w:contextualSpacing/>
        <w:rPr>
          <w:rFonts w:ascii="宋体" w:eastAsia="宋体" w:hAnsi="宋体" w:cs="宋体"/>
          <w:color w:val="000000" w:themeColor="text1"/>
          <w:kern w:val="0"/>
          <w:szCs w:val="21"/>
        </w:rPr>
      </w:pPr>
      <w:proofErr w:type="gramStart"/>
      <w:r>
        <w:rPr>
          <w:rFonts w:ascii="宋体" w:eastAsia="宋体" w:hAnsi="宋体" w:cs="宋体" w:hint="eastAsia"/>
          <w:color w:val="000000" w:themeColor="text1"/>
          <w:kern w:val="0"/>
          <w:szCs w:val="21"/>
        </w:rPr>
        <w:t>早实核桃</w:t>
      </w:r>
      <w:proofErr w:type="gramEnd"/>
      <w:r>
        <w:rPr>
          <w:rFonts w:ascii="宋体" w:eastAsia="宋体" w:hAnsi="宋体" w:cs="宋体" w:hint="eastAsia"/>
          <w:color w:val="000000" w:themeColor="text1"/>
          <w:kern w:val="0"/>
          <w:szCs w:val="21"/>
        </w:rPr>
        <w:t>良种栽植后当年或第二年进行，晚实核桃栽后2 a</w:t>
      </w:r>
      <w:r>
        <w:rPr>
          <w:rFonts w:ascii="宋体" w:eastAsia="宋体" w:hAnsi="宋体" w:cs="宋体" w:hint="eastAsia"/>
          <w:color w:val="000000" w:themeColor="text1"/>
          <w:szCs w:val="21"/>
        </w:rPr>
        <w:t>～</w:t>
      </w:r>
      <w:r>
        <w:rPr>
          <w:rFonts w:ascii="宋体" w:eastAsia="宋体" w:hAnsi="宋体" w:cs="宋体" w:hint="eastAsia"/>
          <w:color w:val="000000" w:themeColor="text1"/>
          <w:kern w:val="0"/>
          <w:szCs w:val="21"/>
        </w:rPr>
        <w:t>3 a进行。定</w:t>
      </w:r>
      <w:proofErr w:type="gramStart"/>
      <w:r>
        <w:rPr>
          <w:rFonts w:ascii="宋体" w:eastAsia="宋体" w:hAnsi="宋体" w:cs="宋体" w:hint="eastAsia"/>
          <w:color w:val="000000" w:themeColor="text1"/>
          <w:kern w:val="0"/>
          <w:szCs w:val="21"/>
        </w:rPr>
        <w:t>干高度依预培养</w:t>
      </w:r>
      <w:proofErr w:type="gramEnd"/>
      <w:r>
        <w:rPr>
          <w:rFonts w:ascii="宋体" w:eastAsia="宋体" w:hAnsi="宋体" w:cs="宋体" w:hint="eastAsia"/>
          <w:color w:val="000000" w:themeColor="text1"/>
          <w:kern w:val="0"/>
          <w:szCs w:val="21"/>
        </w:rPr>
        <w:t>树形而定。发芽后应及时抹除砧木萌芽。</w:t>
      </w:r>
    </w:p>
    <w:p w:rsidR="00A646F9" w:rsidRDefault="00781025">
      <w:pPr>
        <w:spacing w:line="400" w:lineRule="exact"/>
        <w:contextualSpacing/>
        <w:rPr>
          <w:rFonts w:ascii="黑体" w:eastAsia="黑体" w:hAnsi="黑体" w:cs="黑体"/>
          <w:color w:val="000000" w:themeColor="text1"/>
          <w:kern w:val="0"/>
          <w:szCs w:val="21"/>
        </w:rPr>
      </w:pPr>
      <w:r>
        <w:rPr>
          <w:rFonts w:ascii="黑体" w:eastAsia="黑体" w:hAnsi="黑体" w:cs="黑体" w:hint="eastAsia"/>
          <w:color w:val="000000" w:themeColor="text1"/>
          <w:kern w:val="0"/>
          <w:szCs w:val="21"/>
        </w:rPr>
        <w:t>7.1.2 越冬防寒</w:t>
      </w:r>
    </w:p>
    <w:p w:rsidR="00A646F9" w:rsidRDefault="00781025">
      <w:pPr>
        <w:spacing w:line="400" w:lineRule="exact"/>
        <w:ind w:firstLineChars="200" w:firstLine="420"/>
        <w:contextualSpacing/>
        <w:rPr>
          <w:rFonts w:ascii="Times New Roman" w:eastAsia="宋体" w:hAnsi="Times New Roman" w:cs="Times New Roman"/>
          <w:color w:val="000000" w:themeColor="text1"/>
          <w:szCs w:val="21"/>
        </w:rPr>
      </w:pPr>
      <w:r>
        <w:rPr>
          <w:rFonts w:ascii="宋体" w:eastAsia="宋体" w:hAnsi="宋体" w:cs="宋体" w:hint="eastAsia"/>
          <w:color w:val="000000" w:themeColor="text1"/>
          <w:kern w:val="0"/>
          <w:szCs w:val="21"/>
        </w:rPr>
        <w:t>栽植1 a</w:t>
      </w:r>
      <w:r>
        <w:rPr>
          <w:rFonts w:ascii="宋体" w:eastAsia="宋体" w:hAnsi="宋体" w:cs="宋体" w:hint="eastAsia"/>
          <w:color w:val="000000" w:themeColor="text1"/>
          <w:szCs w:val="21"/>
        </w:rPr>
        <w:t>～</w:t>
      </w:r>
      <w:r>
        <w:rPr>
          <w:rFonts w:ascii="宋体" w:eastAsia="宋体" w:hAnsi="宋体" w:cs="宋体" w:hint="eastAsia"/>
          <w:color w:val="000000" w:themeColor="text1"/>
          <w:kern w:val="0"/>
          <w:szCs w:val="21"/>
        </w:rPr>
        <w:t>2 a幼树宜在越冬前进行树体防寒保护，可采用土埋、树干绑缚（纸、草绳</w:t>
      </w:r>
      <w:r>
        <w:rPr>
          <w:rFonts w:ascii="宋体" w:eastAsia="宋体" w:hAnsi="宋体" w:cs="宋体" w:hint="eastAsia"/>
          <w:color w:val="000000" w:themeColor="text1"/>
          <w:kern w:val="0"/>
          <w:szCs w:val="21"/>
        </w:rPr>
        <w:lastRenderedPageBreak/>
        <w:t>等）、树干涂抹（聚乙烯醇、2</w:t>
      </w:r>
      <w:r>
        <w:rPr>
          <w:rFonts w:ascii="Times New Roman" w:eastAsia="宋体" w:hAnsi="Times New Roman" w:cs="Times New Roman" w:hint="eastAsia"/>
          <w:color w:val="000000" w:themeColor="text1"/>
          <w:szCs w:val="21"/>
        </w:rPr>
        <w:t>°</w:t>
      </w:r>
      <w:r>
        <w:rPr>
          <w:rFonts w:ascii="宋体" w:eastAsia="宋体" w:hAnsi="宋体" w:cs="宋体" w:hint="eastAsia"/>
          <w:color w:val="000000" w:themeColor="text1"/>
          <w:kern w:val="0"/>
          <w:szCs w:val="21"/>
        </w:rPr>
        <w:t>Be～3°Be石硫</w:t>
      </w:r>
      <w:r>
        <w:rPr>
          <w:rFonts w:ascii="Times New Roman" w:eastAsia="宋体" w:hAnsi="Times New Roman" w:cs="Times New Roman" w:hint="eastAsia"/>
          <w:color w:val="000000" w:themeColor="text1"/>
          <w:szCs w:val="21"/>
        </w:rPr>
        <w:t>合剂等</w:t>
      </w:r>
      <w:r>
        <w:rPr>
          <w:rFonts w:ascii="宋体" w:eastAsia="宋体" w:hAnsi="宋体" w:cs="宋体" w:hint="eastAsia"/>
          <w:color w:val="000000" w:themeColor="text1"/>
          <w:kern w:val="0"/>
          <w:szCs w:val="21"/>
        </w:rPr>
        <w:t>）等措施。</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7.2  幼树期土肥水管理</w:t>
      </w:r>
    </w:p>
    <w:p w:rsidR="00A646F9" w:rsidRDefault="00781025">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7.2.1 土壤管理</w:t>
      </w:r>
    </w:p>
    <w:p w:rsidR="00A646F9" w:rsidRDefault="00781025">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7.2.1.1 土壤中耕</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夏秋季结合灌水、施肥进行中耕除草，耕作深度15 cm～20 cm，每年2次～3次。</w:t>
      </w:r>
    </w:p>
    <w:p w:rsidR="00A646F9" w:rsidRDefault="00781025">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7.2.1.2 深翻扩穴</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土壤条件较差的立地，在果实采收后至落叶前深翻1 次，翻耕深度40 cm～50 cm。土壤条件较好或深翻有困难的</w:t>
      </w:r>
      <w:proofErr w:type="gramStart"/>
      <w:r>
        <w:rPr>
          <w:rFonts w:ascii="宋体" w:eastAsia="宋体" w:hAnsi="宋体" w:cs="宋体" w:hint="eastAsia"/>
          <w:color w:val="000000" w:themeColor="text1"/>
          <w:szCs w:val="21"/>
        </w:rPr>
        <w:t>立地可</w:t>
      </w:r>
      <w:proofErr w:type="gramEnd"/>
      <w:r>
        <w:rPr>
          <w:rFonts w:ascii="宋体" w:eastAsia="宋体" w:hAnsi="宋体" w:cs="宋体" w:hint="eastAsia"/>
          <w:color w:val="000000" w:themeColor="text1"/>
          <w:szCs w:val="21"/>
        </w:rPr>
        <w:t>浅翻，深度20 cm～30 cm。结合施基肥进行。</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7.2.2 施肥</w:t>
      </w:r>
    </w:p>
    <w:p w:rsidR="00A646F9" w:rsidRDefault="00781025">
      <w:pPr>
        <w:spacing w:line="400" w:lineRule="exact"/>
        <w:rPr>
          <w:rFonts w:ascii="黑体" w:eastAsia="黑体" w:hAnsi="黑体" w:cs="Times New Roman"/>
          <w:color w:val="000000" w:themeColor="text1"/>
          <w:kern w:val="0"/>
          <w:szCs w:val="21"/>
        </w:rPr>
      </w:pPr>
      <w:r>
        <w:rPr>
          <w:rFonts w:ascii="黑体" w:eastAsia="黑体" w:hAnsi="黑体" w:cs="Times New Roman" w:hint="eastAsia"/>
          <w:color w:val="000000" w:themeColor="text1"/>
          <w:kern w:val="0"/>
          <w:szCs w:val="21"/>
        </w:rPr>
        <w:t>7</w:t>
      </w:r>
      <w:r>
        <w:rPr>
          <w:rFonts w:ascii="黑体" w:eastAsia="黑体" w:hAnsi="黑体" w:cs="Times New Roman"/>
          <w:color w:val="000000" w:themeColor="text1"/>
          <w:kern w:val="0"/>
          <w:szCs w:val="21"/>
        </w:rPr>
        <w:t>.</w:t>
      </w:r>
      <w:r>
        <w:rPr>
          <w:rFonts w:ascii="黑体" w:eastAsia="黑体" w:hAnsi="黑体" w:cs="Times New Roman" w:hint="eastAsia"/>
          <w:color w:val="000000" w:themeColor="text1"/>
          <w:kern w:val="0"/>
          <w:szCs w:val="21"/>
        </w:rPr>
        <w:t>2.2</w:t>
      </w:r>
      <w:r>
        <w:rPr>
          <w:rFonts w:ascii="黑体" w:eastAsia="黑体" w:hAnsi="黑体" w:cs="Times New Roman"/>
          <w:color w:val="000000" w:themeColor="text1"/>
          <w:kern w:val="0"/>
          <w:szCs w:val="21"/>
        </w:rPr>
        <w:t>.1 施肥原则</w:t>
      </w:r>
    </w:p>
    <w:p w:rsidR="00A646F9" w:rsidRDefault="00781025">
      <w:pPr>
        <w:spacing w:line="400" w:lineRule="exact"/>
        <w:ind w:firstLineChars="200" w:firstLine="420"/>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肥料使用应符合</w:t>
      </w:r>
      <w:r>
        <w:rPr>
          <w:rFonts w:ascii="Times New Roman" w:eastAsia="宋体" w:hAnsi="Times New Roman" w:cs="Times New Roman"/>
          <w:color w:val="000000" w:themeColor="text1"/>
          <w:szCs w:val="21"/>
        </w:rPr>
        <w:t>NY/T 394</w:t>
      </w:r>
      <w:r>
        <w:rPr>
          <w:rFonts w:ascii="Times New Roman" w:eastAsia="宋体" w:hAnsi="Times New Roman" w:cs="Times New Roman"/>
          <w:color w:val="000000" w:themeColor="text1"/>
          <w:szCs w:val="21"/>
        </w:rPr>
        <w:t>的规定。以有机肥、微生物肥为主，化肥为辅，在保障</w:t>
      </w:r>
      <w:r>
        <w:rPr>
          <w:rFonts w:ascii="Times New Roman" w:eastAsia="宋体" w:hAnsi="Times New Roman" w:cs="Times New Roman" w:hint="eastAsia"/>
          <w:color w:val="000000" w:themeColor="text1"/>
          <w:szCs w:val="21"/>
        </w:rPr>
        <w:t>核桃</w:t>
      </w:r>
      <w:r>
        <w:rPr>
          <w:rFonts w:ascii="Times New Roman" w:eastAsia="宋体" w:hAnsi="Times New Roman" w:cs="Times New Roman"/>
          <w:color w:val="000000" w:themeColor="text1"/>
          <w:szCs w:val="21"/>
        </w:rPr>
        <w:t>营养有效供给的基础上减少化肥用量，兼顾元素之间的比例平衡，有机氮与无机氮之比不超过</w:t>
      </w:r>
      <w:r>
        <w:rPr>
          <w:rFonts w:ascii="Times New Roman" w:eastAsia="宋体" w:hAnsi="Times New Roman" w:cs="Times New Roman"/>
          <w:color w:val="000000" w:themeColor="text1"/>
          <w:szCs w:val="21"/>
        </w:rPr>
        <w:t>1:1</w:t>
      </w:r>
      <w:r>
        <w:rPr>
          <w:rFonts w:ascii="Times New Roman" w:eastAsia="宋体" w:hAnsi="Times New Roman" w:cs="Times New Roman"/>
          <w:color w:val="000000" w:themeColor="text1"/>
          <w:szCs w:val="21"/>
        </w:rPr>
        <w:t>。开展测土配方，精准施肥，促进化肥减量增效。</w:t>
      </w:r>
    </w:p>
    <w:p w:rsidR="00A646F9" w:rsidRDefault="00781025">
      <w:pPr>
        <w:spacing w:line="400" w:lineRule="exact"/>
        <w:rPr>
          <w:rFonts w:ascii="黑体" w:eastAsia="黑体" w:hAnsi="黑体" w:cs="Times New Roman"/>
          <w:color w:val="000000" w:themeColor="text1"/>
          <w:kern w:val="0"/>
          <w:szCs w:val="21"/>
        </w:rPr>
      </w:pPr>
      <w:r>
        <w:rPr>
          <w:rFonts w:ascii="黑体" w:eastAsia="黑体" w:hAnsi="黑体" w:cs="Times New Roman" w:hint="eastAsia"/>
          <w:color w:val="000000" w:themeColor="text1"/>
          <w:kern w:val="0"/>
          <w:szCs w:val="21"/>
        </w:rPr>
        <w:t>7.2</w:t>
      </w:r>
      <w:r>
        <w:rPr>
          <w:rFonts w:ascii="黑体" w:eastAsia="黑体" w:hAnsi="黑体" w:cs="Times New Roman"/>
          <w:color w:val="000000" w:themeColor="text1"/>
          <w:kern w:val="0"/>
          <w:szCs w:val="21"/>
        </w:rPr>
        <w:t>.</w:t>
      </w:r>
      <w:r>
        <w:rPr>
          <w:rFonts w:ascii="黑体" w:eastAsia="黑体" w:hAnsi="黑体" w:cs="Times New Roman" w:hint="eastAsia"/>
          <w:color w:val="000000" w:themeColor="text1"/>
          <w:kern w:val="0"/>
          <w:szCs w:val="21"/>
        </w:rPr>
        <w:t>2</w:t>
      </w:r>
      <w:r>
        <w:rPr>
          <w:rFonts w:ascii="黑体" w:eastAsia="黑体" w:hAnsi="黑体" w:cs="Times New Roman"/>
          <w:color w:val="000000" w:themeColor="text1"/>
          <w:kern w:val="0"/>
          <w:szCs w:val="21"/>
        </w:rPr>
        <w:t>.2 施肥时</w:t>
      </w:r>
      <w:r>
        <w:rPr>
          <w:rFonts w:ascii="黑体" w:eastAsia="黑体" w:hAnsi="黑体" w:cs="Times New Roman" w:hint="eastAsia"/>
          <w:color w:val="000000" w:themeColor="text1"/>
          <w:kern w:val="0"/>
          <w:szCs w:val="21"/>
        </w:rPr>
        <w:t>期</w:t>
      </w:r>
    </w:p>
    <w:p w:rsidR="00A646F9" w:rsidRDefault="00781025">
      <w:pPr>
        <w:spacing w:line="400" w:lineRule="exact"/>
        <w:ind w:firstLineChars="100" w:firstLine="210"/>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基肥</w:t>
      </w:r>
      <w:r>
        <w:rPr>
          <w:rFonts w:ascii="Times New Roman" w:eastAsia="宋体" w:hAnsi="Times New Roman" w:cs="Times New Roman" w:hint="eastAsia"/>
          <w:color w:val="000000" w:themeColor="text1"/>
          <w:szCs w:val="21"/>
        </w:rPr>
        <w:t>：果实采收后至</w:t>
      </w:r>
      <w:r>
        <w:rPr>
          <w:rFonts w:ascii="Times New Roman" w:eastAsia="宋体" w:hAnsi="Times New Roman" w:cs="Times New Roman"/>
          <w:color w:val="000000" w:themeColor="text1"/>
          <w:szCs w:val="21"/>
        </w:rPr>
        <w:t>落叶前</w:t>
      </w:r>
      <w:r>
        <w:rPr>
          <w:rFonts w:ascii="Times New Roman" w:eastAsia="宋体" w:hAnsi="Times New Roman" w:cs="Times New Roman" w:hint="eastAsia"/>
          <w:color w:val="000000" w:themeColor="text1"/>
          <w:szCs w:val="21"/>
        </w:rPr>
        <w:t>尽早施入</w:t>
      </w:r>
      <w:r>
        <w:rPr>
          <w:rFonts w:ascii="Times New Roman" w:eastAsia="宋体" w:hAnsi="Times New Roman" w:cs="Times New Roman"/>
          <w:color w:val="000000" w:themeColor="text1"/>
          <w:szCs w:val="21"/>
        </w:rPr>
        <w:t>，以及春季解冻后至发芽前；追肥</w:t>
      </w:r>
      <w:r>
        <w:rPr>
          <w:rFonts w:ascii="Times New Roman" w:eastAsia="宋体" w:hAnsi="Times New Roman" w:cs="Times New Roman" w:hint="eastAsia"/>
          <w:color w:val="000000" w:themeColor="text1"/>
          <w:szCs w:val="21"/>
        </w:rPr>
        <w:t>：萌芽前后</w:t>
      </w:r>
      <w:r>
        <w:rPr>
          <w:rFonts w:ascii="Times New Roman" w:eastAsia="宋体" w:hAnsi="Times New Roman" w:cs="Times New Roman"/>
          <w:color w:val="000000" w:themeColor="text1"/>
          <w:szCs w:val="21"/>
        </w:rPr>
        <w:t>追</w:t>
      </w:r>
      <w:r>
        <w:rPr>
          <w:rFonts w:ascii="Times New Roman" w:eastAsia="宋体" w:hAnsi="Times New Roman" w:cs="Times New Roman" w:hint="eastAsia"/>
          <w:color w:val="000000" w:themeColor="text1"/>
          <w:szCs w:val="21"/>
        </w:rPr>
        <w:t>施</w:t>
      </w:r>
      <w:r>
        <w:rPr>
          <w:rFonts w:ascii="Times New Roman" w:eastAsia="宋体" w:hAnsi="Times New Roman" w:cs="Times New Roman" w:hint="eastAsia"/>
          <w:color w:val="000000" w:themeColor="text1"/>
          <w:szCs w:val="21"/>
        </w:rPr>
        <w:t>1</w:t>
      </w:r>
      <w:r>
        <w:rPr>
          <w:rFonts w:ascii="Times New Roman" w:eastAsia="宋体" w:hAnsi="Times New Roman" w:cs="Times New Roman" w:hint="eastAsia"/>
          <w:color w:val="000000" w:themeColor="text1"/>
          <w:szCs w:val="21"/>
        </w:rPr>
        <w:t>次，果实发育期</w:t>
      </w:r>
      <w:r>
        <w:rPr>
          <w:rFonts w:ascii="Times New Roman" w:eastAsia="宋体" w:hAnsi="Times New Roman" w:cs="Times New Roman"/>
          <w:color w:val="000000" w:themeColor="text1"/>
          <w:szCs w:val="21"/>
        </w:rPr>
        <w:t>追</w:t>
      </w:r>
      <w:r>
        <w:rPr>
          <w:rFonts w:ascii="Times New Roman" w:eastAsia="宋体" w:hAnsi="Times New Roman" w:cs="Times New Roman" w:hint="eastAsia"/>
          <w:color w:val="000000" w:themeColor="text1"/>
          <w:szCs w:val="21"/>
        </w:rPr>
        <w:t>施</w:t>
      </w:r>
      <w:r>
        <w:rPr>
          <w:rFonts w:ascii="Times New Roman" w:eastAsia="宋体" w:hAnsi="Times New Roman" w:cs="Times New Roman" w:hint="eastAsia"/>
          <w:color w:val="000000" w:themeColor="text1"/>
          <w:szCs w:val="21"/>
        </w:rPr>
        <w:t>1</w:t>
      </w:r>
      <w:r>
        <w:rPr>
          <w:rFonts w:ascii="Times New Roman" w:eastAsia="宋体" w:hAnsi="Times New Roman" w:cs="Times New Roman" w:hint="eastAsia"/>
          <w:color w:val="000000" w:themeColor="text1"/>
          <w:szCs w:val="21"/>
        </w:rPr>
        <w:t>次；叶面喷施：果实发育期和硬核期各喷施</w:t>
      </w:r>
      <w:r>
        <w:rPr>
          <w:rFonts w:ascii="Times New Roman" w:eastAsia="宋体" w:hAnsi="Times New Roman" w:cs="Times New Roman" w:hint="eastAsia"/>
          <w:color w:val="000000" w:themeColor="text1"/>
          <w:szCs w:val="21"/>
        </w:rPr>
        <w:t>2</w:t>
      </w:r>
      <w:r>
        <w:rPr>
          <w:rFonts w:ascii="Times New Roman" w:eastAsia="宋体" w:hAnsi="Times New Roman" w:cs="Times New Roman" w:hint="eastAsia"/>
          <w:color w:val="000000" w:themeColor="text1"/>
          <w:szCs w:val="21"/>
        </w:rPr>
        <w:t>次</w:t>
      </w:r>
      <w:r>
        <w:rPr>
          <w:rFonts w:ascii="宋体" w:eastAsia="宋体" w:hAnsi="宋体" w:cs="宋体" w:hint="eastAsia"/>
          <w:color w:val="000000" w:themeColor="text1"/>
          <w:szCs w:val="21"/>
        </w:rPr>
        <w:t>～</w:t>
      </w:r>
      <w:r>
        <w:rPr>
          <w:rFonts w:ascii="Times New Roman" w:eastAsia="宋体" w:hAnsi="Times New Roman" w:cs="Times New Roman" w:hint="eastAsia"/>
          <w:color w:val="000000" w:themeColor="text1"/>
          <w:szCs w:val="21"/>
        </w:rPr>
        <w:t>3</w:t>
      </w:r>
      <w:r>
        <w:rPr>
          <w:rFonts w:ascii="Times New Roman" w:eastAsia="宋体" w:hAnsi="Times New Roman" w:cs="Times New Roman" w:hint="eastAsia"/>
          <w:color w:val="000000" w:themeColor="text1"/>
          <w:szCs w:val="21"/>
        </w:rPr>
        <w:t>次。</w:t>
      </w:r>
    </w:p>
    <w:p w:rsidR="00A646F9" w:rsidRDefault="00781025">
      <w:pPr>
        <w:spacing w:line="400" w:lineRule="exact"/>
        <w:rPr>
          <w:rFonts w:ascii="黑体" w:eastAsia="黑体" w:hAnsi="黑体" w:cs="Times New Roman"/>
          <w:color w:val="000000" w:themeColor="text1"/>
          <w:kern w:val="0"/>
          <w:szCs w:val="21"/>
        </w:rPr>
      </w:pPr>
      <w:r>
        <w:rPr>
          <w:rFonts w:ascii="黑体" w:eastAsia="黑体" w:hAnsi="黑体" w:cs="Times New Roman" w:hint="eastAsia"/>
          <w:color w:val="000000" w:themeColor="text1"/>
          <w:kern w:val="0"/>
          <w:szCs w:val="21"/>
        </w:rPr>
        <w:t>7.2</w:t>
      </w:r>
      <w:r>
        <w:rPr>
          <w:rFonts w:ascii="黑体" w:eastAsia="黑体" w:hAnsi="黑体" w:cs="Times New Roman"/>
          <w:color w:val="000000" w:themeColor="text1"/>
          <w:kern w:val="0"/>
          <w:szCs w:val="21"/>
        </w:rPr>
        <w:t>.</w:t>
      </w:r>
      <w:r>
        <w:rPr>
          <w:rFonts w:ascii="黑体" w:eastAsia="黑体" w:hAnsi="黑体" w:cs="Times New Roman" w:hint="eastAsia"/>
          <w:color w:val="000000" w:themeColor="text1"/>
          <w:kern w:val="0"/>
          <w:szCs w:val="21"/>
        </w:rPr>
        <w:t>2</w:t>
      </w:r>
      <w:r>
        <w:rPr>
          <w:rFonts w:ascii="黑体" w:eastAsia="黑体" w:hAnsi="黑体" w:cs="Times New Roman"/>
          <w:color w:val="000000" w:themeColor="text1"/>
          <w:kern w:val="0"/>
          <w:szCs w:val="21"/>
        </w:rPr>
        <w:t>.3 施肥</w:t>
      </w:r>
      <w:r>
        <w:rPr>
          <w:rFonts w:ascii="黑体" w:eastAsia="黑体" w:hAnsi="黑体" w:cs="Times New Roman" w:hint="eastAsia"/>
          <w:color w:val="000000" w:themeColor="text1"/>
          <w:kern w:val="0"/>
          <w:szCs w:val="21"/>
        </w:rPr>
        <w:t>方法</w:t>
      </w:r>
    </w:p>
    <w:p w:rsidR="00A646F9" w:rsidRDefault="00781025">
      <w:pPr>
        <w:spacing w:line="400" w:lineRule="exact"/>
        <w:ind w:firstLineChars="300" w:firstLine="630"/>
        <w:rPr>
          <w:rFonts w:ascii="宋体" w:eastAsia="宋体" w:hAnsi="宋体" w:cs="宋体"/>
          <w:color w:val="000000" w:themeColor="text1"/>
          <w:szCs w:val="21"/>
        </w:rPr>
      </w:pPr>
      <w:bookmarkStart w:id="10" w:name="_Hlk119487403"/>
      <w:bookmarkStart w:id="11" w:name="_Hlk119704027"/>
      <w:r>
        <w:rPr>
          <w:rFonts w:ascii="宋体" w:eastAsia="宋体" w:hAnsi="宋体" w:cs="宋体"/>
          <w:color w:val="000000" w:themeColor="text1"/>
          <w:szCs w:val="21"/>
        </w:rPr>
        <w:t>a</w:t>
      </w:r>
      <w:bookmarkEnd w:id="10"/>
      <w:r>
        <w:rPr>
          <w:rFonts w:ascii="宋体" w:eastAsia="宋体" w:hAnsi="宋体" w:cs="宋体" w:hint="eastAsia"/>
          <w:color w:val="000000" w:themeColor="text1"/>
          <w:szCs w:val="21"/>
        </w:rPr>
        <w:t>）</w:t>
      </w:r>
      <w:bookmarkEnd w:id="11"/>
      <w:r>
        <w:rPr>
          <w:rFonts w:ascii="宋体" w:eastAsia="宋体" w:hAnsi="宋体" w:cs="宋体" w:hint="eastAsia"/>
          <w:color w:val="000000" w:themeColor="text1"/>
          <w:szCs w:val="21"/>
        </w:rPr>
        <w:t>环状</w:t>
      </w:r>
      <w:r>
        <w:rPr>
          <w:rFonts w:ascii="宋体" w:eastAsia="宋体" w:hAnsi="宋体" w:cs="宋体"/>
          <w:color w:val="000000" w:themeColor="text1"/>
          <w:szCs w:val="21"/>
        </w:rPr>
        <w:t>施肥</w:t>
      </w:r>
      <w:r>
        <w:rPr>
          <w:rFonts w:ascii="宋体" w:eastAsia="宋体" w:hAnsi="宋体" w:cs="宋体" w:hint="eastAsia"/>
          <w:color w:val="000000" w:themeColor="text1"/>
          <w:szCs w:val="21"/>
        </w:rPr>
        <w:t>：围绕树冠</w:t>
      </w:r>
      <w:bookmarkStart w:id="12" w:name="_Hlk119702315"/>
      <w:r>
        <w:rPr>
          <w:rFonts w:ascii="宋体" w:eastAsia="宋体" w:hAnsi="宋体" w:cs="宋体" w:hint="eastAsia"/>
          <w:color w:val="000000" w:themeColor="text1"/>
          <w:szCs w:val="21"/>
        </w:rPr>
        <w:t>投</w:t>
      </w:r>
      <w:bookmarkEnd w:id="12"/>
      <w:r>
        <w:rPr>
          <w:rFonts w:ascii="宋体" w:eastAsia="宋体" w:hAnsi="宋体" w:cs="宋体" w:hint="eastAsia"/>
          <w:color w:val="000000" w:themeColor="text1"/>
          <w:szCs w:val="21"/>
        </w:rPr>
        <w:t>影外缘挖</w:t>
      </w:r>
      <w:r>
        <w:rPr>
          <w:rFonts w:ascii="宋体" w:eastAsia="宋体" w:hAnsi="宋体" w:cs="宋体" w:hint="eastAsia"/>
          <w:color w:val="000000" w:themeColor="text1"/>
          <w:kern w:val="0"/>
          <w:szCs w:val="21"/>
          <w:lang w:val="zh-CN"/>
        </w:rPr>
        <w:t>宽、深各30 cm～40 cm的环状沟</w:t>
      </w:r>
      <w:r>
        <w:rPr>
          <w:rFonts w:ascii="宋体" w:hAnsi="宋体" w:cs="宋体" w:hint="eastAsia"/>
          <w:color w:val="000000" w:themeColor="text1"/>
          <w:kern w:val="0"/>
          <w:szCs w:val="21"/>
          <w:lang w:val="zh-CN"/>
        </w:rPr>
        <w:t>，</w:t>
      </w:r>
      <w:r>
        <w:rPr>
          <w:rFonts w:ascii="宋体" w:eastAsia="宋体" w:hAnsi="宋体" w:cs="宋体" w:hint="eastAsia"/>
          <w:color w:val="000000" w:themeColor="text1"/>
          <w:szCs w:val="21"/>
        </w:rPr>
        <w:t>将肥料与表土混合均匀施入沟内，盖底土灌水。</w:t>
      </w:r>
      <w:proofErr w:type="gramStart"/>
      <w:r>
        <w:rPr>
          <w:rFonts w:ascii="宋体" w:eastAsia="宋体" w:hAnsi="宋体" w:cs="宋体" w:hint="eastAsia"/>
          <w:color w:val="000000" w:themeColor="text1"/>
          <w:szCs w:val="21"/>
        </w:rPr>
        <w:t>环状沟应逐年</w:t>
      </w:r>
      <w:proofErr w:type="gramEnd"/>
      <w:r>
        <w:rPr>
          <w:rFonts w:ascii="宋体" w:eastAsia="宋体" w:hAnsi="宋体" w:cs="宋体" w:hint="eastAsia"/>
          <w:color w:val="000000" w:themeColor="text1"/>
          <w:szCs w:val="21"/>
        </w:rPr>
        <w:t>外移。</w:t>
      </w:r>
    </w:p>
    <w:p w:rsidR="00A646F9" w:rsidRDefault="00781025">
      <w:pPr>
        <w:spacing w:line="400" w:lineRule="exact"/>
        <w:ind w:firstLineChars="300" w:firstLine="630"/>
        <w:rPr>
          <w:rFonts w:ascii="宋体" w:eastAsia="宋体" w:hAnsi="宋体" w:cs="宋体"/>
          <w:color w:val="000000" w:themeColor="text1"/>
          <w:szCs w:val="21"/>
        </w:rPr>
      </w:pPr>
      <w:bookmarkStart w:id="13" w:name="_Hlk119702145"/>
      <w:r>
        <w:rPr>
          <w:rFonts w:ascii="宋体" w:eastAsia="宋体" w:hAnsi="宋体" w:cs="宋体"/>
          <w:color w:val="000000" w:themeColor="text1"/>
          <w:szCs w:val="21"/>
        </w:rPr>
        <w:t>b）</w:t>
      </w:r>
      <w:bookmarkEnd w:id="13"/>
      <w:r>
        <w:rPr>
          <w:rFonts w:ascii="宋体" w:eastAsia="宋体" w:hAnsi="宋体" w:cs="宋体" w:hint="eastAsia"/>
          <w:color w:val="000000" w:themeColor="text1"/>
          <w:szCs w:val="21"/>
        </w:rPr>
        <w:t>穴状</w:t>
      </w:r>
      <w:r>
        <w:rPr>
          <w:rFonts w:ascii="宋体" w:eastAsia="宋体" w:hAnsi="宋体" w:cs="宋体"/>
          <w:color w:val="000000" w:themeColor="text1"/>
          <w:szCs w:val="21"/>
        </w:rPr>
        <w:t>施肥</w:t>
      </w:r>
      <w:r>
        <w:rPr>
          <w:rFonts w:ascii="宋体" w:eastAsia="宋体" w:hAnsi="宋体" w:cs="宋体" w:hint="eastAsia"/>
          <w:color w:val="000000" w:themeColor="text1"/>
          <w:szCs w:val="21"/>
        </w:rPr>
        <w:t>：以树干为</w:t>
      </w:r>
      <w:proofErr w:type="gramStart"/>
      <w:r>
        <w:rPr>
          <w:rFonts w:ascii="宋体" w:eastAsia="宋体" w:hAnsi="宋体" w:cs="宋体" w:hint="eastAsia"/>
          <w:color w:val="000000" w:themeColor="text1"/>
          <w:szCs w:val="21"/>
        </w:rPr>
        <w:t>中心至冠幅</w:t>
      </w:r>
      <w:proofErr w:type="gramEnd"/>
      <w:r>
        <w:rPr>
          <w:rFonts w:ascii="宋体" w:eastAsia="宋体" w:hAnsi="宋体" w:cs="宋体" w:hint="eastAsia"/>
          <w:color w:val="000000" w:themeColor="text1"/>
          <w:szCs w:val="21"/>
        </w:rPr>
        <w:t>投影边线的1/2处挖穴施入肥料，封土灌水。</w:t>
      </w:r>
    </w:p>
    <w:p w:rsidR="00A646F9" w:rsidRDefault="00781025">
      <w:pPr>
        <w:spacing w:line="400" w:lineRule="exact"/>
        <w:ind w:firstLineChars="300" w:firstLine="630"/>
        <w:contextualSpacing/>
        <w:rPr>
          <w:rFonts w:ascii="宋体" w:eastAsia="宋体" w:hAnsi="宋体" w:cs="宋体"/>
          <w:color w:val="000000" w:themeColor="text1"/>
          <w:szCs w:val="21"/>
        </w:rPr>
      </w:pPr>
      <w:r>
        <w:rPr>
          <w:rFonts w:ascii="宋体" w:eastAsia="宋体" w:hAnsi="宋体" w:cs="宋体"/>
          <w:color w:val="000000" w:themeColor="text1"/>
          <w:szCs w:val="21"/>
        </w:rPr>
        <w:t>c</w:t>
      </w:r>
      <w:r>
        <w:rPr>
          <w:rFonts w:ascii="宋体" w:eastAsia="宋体" w:hAnsi="宋体" w:cs="宋体" w:hint="eastAsia"/>
          <w:color w:val="000000" w:themeColor="text1"/>
          <w:szCs w:val="21"/>
        </w:rPr>
        <w:t>） 条状</w:t>
      </w:r>
      <w:r>
        <w:rPr>
          <w:rFonts w:ascii="宋体" w:eastAsia="宋体" w:hAnsi="宋体" w:cs="宋体"/>
          <w:color w:val="000000" w:themeColor="text1"/>
          <w:szCs w:val="21"/>
        </w:rPr>
        <w:t>施肥</w:t>
      </w:r>
      <w:r>
        <w:rPr>
          <w:rFonts w:ascii="宋体" w:eastAsia="宋体" w:hAnsi="宋体" w:cs="宋体" w:hint="eastAsia"/>
          <w:color w:val="000000" w:themeColor="text1"/>
          <w:szCs w:val="21"/>
        </w:rPr>
        <w:t>：在</w:t>
      </w:r>
      <w:r>
        <w:rPr>
          <w:rFonts w:ascii="宋体" w:eastAsia="宋体" w:hAnsi="宋体" w:cs="宋体" w:hint="eastAsia"/>
          <w:color w:val="000000" w:themeColor="text1"/>
          <w:kern w:val="0"/>
          <w:szCs w:val="21"/>
          <w:lang w:val="zh-CN"/>
        </w:rPr>
        <w:t>行间或</w:t>
      </w:r>
      <w:proofErr w:type="gramStart"/>
      <w:r>
        <w:rPr>
          <w:rFonts w:ascii="宋体" w:eastAsia="宋体" w:hAnsi="宋体" w:cs="宋体" w:hint="eastAsia"/>
          <w:color w:val="000000" w:themeColor="text1"/>
          <w:kern w:val="0"/>
          <w:szCs w:val="21"/>
          <w:lang w:val="zh-CN"/>
        </w:rPr>
        <w:t>株间</w:t>
      </w:r>
      <w:r>
        <w:rPr>
          <w:rFonts w:ascii="宋体" w:eastAsia="宋体" w:hAnsi="宋体" w:cs="宋体" w:hint="eastAsia"/>
          <w:color w:val="000000" w:themeColor="text1"/>
          <w:szCs w:val="21"/>
        </w:rPr>
        <w:t>挖两条</w:t>
      </w:r>
      <w:proofErr w:type="gramEnd"/>
      <w:r>
        <w:rPr>
          <w:rFonts w:ascii="宋体" w:eastAsia="宋体" w:hAnsi="宋体" w:cs="宋体" w:hint="eastAsia"/>
          <w:color w:val="000000" w:themeColor="text1"/>
          <w:szCs w:val="21"/>
        </w:rPr>
        <w:t>相互平行的条状沟，沟长可</w:t>
      </w:r>
      <w:proofErr w:type="gramStart"/>
      <w:r>
        <w:rPr>
          <w:rFonts w:ascii="宋体" w:eastAsia="宋体" w:hAnsi="宋体" w:cs="宋体" w:hint="eastAsia"/>
          <w:color w:val="000000" w:themeColor="text1"/>
          <w:szCs w:val="21"/>
        </w:rPr>
        <w:t>与冠径相等</w:t>
      </w:r>
      <w:proofErr w:type="gramEnd"/>
      <w:r>
        <w:rPr>
          <w:rFonts w:ascii="宋体" w:eastAsia="宋体" w:hAnsi="宋体" w:cs="宋体" w:hint="eastAsia"/>
          <w:color w:val="000000" w:themeColor="text1"/>
          <w:szCs w:val="21"/>
        </w:rPr>
        <w:t>或</w:t>
      </w:r>
      <w:proofErr w:type="gramStart"/>
      <w:r>
        <w:rPr>
          <w:rFonts w:ascii="宋体" w:eastAsia="宋体" w:hAnsi="宋体" w:cs="宋体" w:hint="eastAsia"/>
          <w:color w:val="000000" w:themeColor="text1"/>
          <w:szCs w:val="21"/>
        </w:rPr>
        <w:t>为冠径</w:t>
      </w:r>
      <w:proofErr w:type="gramEnd"/>
      <w:r>
        <w:rPr>
          <w:rFonts w:ascii="宋体" w:eastAsia="宋体" w:hAnsi="宋体" w:cs="宋体" w:hint="eastAsia"/>
          <w:color w:val="000000" w:themeColor="text1"/>
          <w:szCs w:val="21"/>
        </w:rPr>
        <w:t>2/3的沟，</w:t>
      </w:r>
      <w:r>
        <w:rPr>
          <w:rFonts w:ascii="宋体" w:eastAsia="宋体" w:hAnsi="宋体" w:cs="宋体" w:hint="eastAsia"/>
          <w:color w:val="000000" w:themeColor="text1"/>
          <w:kern w:val="0"/>
          <w:szCs w:val="21"/>
          <w:lang w:val="zh-CN"/>
        </w:rPr>
        <w:t>沟宽、深各40 cm～50 cm，</w:t>
      </w:r>
      <w:r>
        <w:rPr>
          <w:rFonts w:ascii="宋体" w:eastAsia="宋体" w:hAnsi="宋体" w:cs="宋体" w:hint="eastAsia"/>
          <w:color w:val="000000" w:themeColor="text1"/>
          <w:szCs w:val="21"/>
        </w:rPr>
        <w:t xml:space="preserve">施肥后灌水覆土，每年轮换施肥沟位置。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7.2.2.4 施肥量</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a</w:t>
      </w:r>
      <w:r>
        <w:rPr>
          <w:rFonts w:ascii="宋体" w:eastAsia="宋体" w:hAnsi="宋体" w:cs="宋体" w:hint="eastAsia"/>
          <w:color w:val="000000" w:themeColor="text1"/>
          <w:szCs w:val="21"/>
        </w:rPr>
        <w:t>）基肥：基肥以腐熟的有机肥为主，施肥量幼树25㎏/株～50㎏/株，初</w:t>
      </w:r>
      <w:proofErr w:type="gramStart"/>
      <w:r>
        <w:rPr>
          <w:rFonts w:ascii="宋体" w:eastAsia="宋体" w:hAnsi="宋体" w:cs="宋体" w:hint="eastAsia"/>
          <w:color w:val="000000" w:themeColor="text1"/>
          <w:szCs w:val="21"/>
        </w:rPr>
        <w:t>果期树</w:t>
      </w:r>
      <w:proofErr w:type="gramEnd"/>
      <w:r>
        <w:rPr>
          <w:rFonts w:ascii="宋体" w:eastAsia="宋体" w:hAnsi="宋体" w:cs="宋体" w:hint="eastAsia"/>
          <w:color w:val="000000" w:themeColor="text1"/>
          <w:szCs w:val="21"/>
        </w:rPr>
        <w:t>50㎏/株～100㎏/株。</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b）</w:t>
      </w:r>
      <w:r>
        <w:rPr>
          <w:rFonts w:ascii="宋体" w:eastAsia="宋体" w:hAnsi="宋体" w:cs="宋体" w:hint="eastAsia"/>
          <w:color w:val="000000" w:themeColor="text1"/>
          <w:szCs w:val="21"/>
        </w:rPr>
        <w:t>追肥： 1 a～5 a生树，每平方米树冠投影面积施纯氮50 g～100 g，</w:t>
      </w:r>
      <w:proofErr w:type="gramStart"/>
      <w:r>
        <w:rPr>
          <w:rFonts w:ascii="宋体" w:eastAsia="宋体" w:hAnsi="宋体" w:cs="宋体" w:hint="eastAsia"/>
          <w:color w:val="000000" w:themeColor="text1"/>
          <w:szCs w:val="21"/>
        </w:rPr>
        <w:t>纯磷和纯钾</w:t>
      </w:r>
      <w:proofErr w:type="gramEnd"/>
      <w:r>
        <w:rPr>
          <w:rFonts w:ascii="宋体" w:eastAsia="宋体" w:hAnsi="宋体" w:cs="宋体" w:hint="eastAsia"/>
          <w:color w:val="000000" w:themeColor="text1"/>
          <w:szCs w:val="21"/>
        </w:rPr>
        <w:t>30 g～60 g。</w:t>
      </w:r>
    </w:p>
    <w:p w:rsidR="00A646F9" w:rsidRDefault="00781025">
      <w:pPr>
        <w:spacing w:line="400" w:lineRule="exact"/>
        <w:rPr>
          <w:rFonts w:ascii="黑体" w:eastAsia="黑体" w:hAnsi="黑体" w:cs="Times New Roman"/>
          <w:color w:val="000000" w:themeColor="text1"/>
          <w:kern w:val="0"/>
          <w:szCs w:val="21"/>
        </w:rPr>
      </w:pPr>
      <w:r>
        <w:rPr>
          <w:rFonts w:ascii="黑体" w:eastAsia="黑体" w:hAnsi="黑体" w:cs="Times New Roman" w:hint="eastAsia"/>
          <w:color w:val="000000" w:themeColor="text1"/>
          <w:kern w:val="0"/>
          <w:szCs w:val="21"/>
        </w:rPr>
        <w:t>7</w:t>
      </w:r>
      <w:r>
        <w:rPr>
          <w:rFonts w:ascii="黑体" w:eastAsia="黑体" w:hAnsi="黑体" w:cs="Times New Roman"/>
          <w:color w:val="000000" w:themeColor="text1"/>
          <w:kern w:val="0"/>
          <w:szCs w:val="21"/>
        </w:rPr>
        <w:t>.</w:t>
      </w:r>
      <w:r>
        <w:rPr>
          <w:rFonts w:ascii="黑体" w:eastAsia="黑体" w:hAnsi="黑体" w:cs="Times New Roman" w:hint="eastAsia"/>
          <w:color w:val="000000" w:themeColor="text1"/>
          <w:kern w:val="0"/>
          <w:szCs w:val="21"/>
        </w:rPr>
        <w:t>2.3</w:t>
      </w:r>
      <w:r>
        <w:rPr>
          <w:rFonts w:ascii="黑体" w:eastAsia="黑体" w:hAnsi="黑体" w:cs="Times New Roman"/>
          <w:color w:val="000000" w:themeColor="text1"/>
          <w:kern w:val="0"/>
          <w:szCs w:val="21"/>
        </w:rPr>
        <w:t xml:space="preserve"> 灌</w:t>
      </w:r>
      <w:r>
        <w:rPr>
          <w:rFonts w:ascii="黑体" w:eastAsia="黑体" w:hAnsi="黑体" w:cs="Times New Roman" w:hint="eastAsia"/>
          <w:color w:val="000000" w:themeColor="text1"/>
          <w:kern w:val="0"/>
          <w:szCs w:val="21"/>
        </w:rPr>
        <w:t>水与排水</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7.2.3.1 灌溉时期</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根据核桃植株对水分的需求和土壤水分状况适时适量灌溉，一般在春季萌芽前、果实发育期、采收后至土壤封冻</w:t>
      </w:r>
      <w:proofErr w:type="gramStart"/>
      <w:r>
        <w:rPr>
          <w:rFonts w:ascii="宋体" w:eastAsia="宋体" w:hAnsi="宋体" w:cs="宋体" w:hint="eastAsia"/>
          <w:color w:val="000000" w:themeColor="text1"/>
          <w:szCs w:val="21"/>
        </w:rPr>
        <w:t>前各灌1次</w:t>
      </w:r>
      <w:proofErr w:type="gramEnd"/>
      <w:r>
        <w:rPr>
          <w:rFonts w:ascii="宋体" w:eastAsia="宋体" w:hAnsi="宋体" w:cs="宋体" w:hint="eastAsia"/>
          <w:color w:val="000000" w:themeColor="text1"/>
          <w:szCs w:val="21"/>
        </w:rPr>
        <w:t>水。</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7.2.3.2 灌溉方式</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灌溉方式可采取滴灌、树盘灌溉、漫灌、喷灌等。干旱地区及丘陵区可采用穴贮肥水灌溉。水质应符合NY/T 391的规定。</w:t>
      </w:r>
    </w:p>
    <w:p w:rsidR="00A646F9" w:rsidRDefault="00781025">
      <w:pPr>
        <w:spacing w:beforeLines="50" w:before="156" w:afterLines="50" w:after="156" w:line="400" w:lineRule="atLeast"/>
        <w:contextualSpacing/>
        <w:rPr>
          <w:rFonts w:ascii="黑体" w:eastAsia="黑体" w:hAnsi="黑体" w:cs="黑体"/>
          <w:color w:val="000000" w:themeColor="text1"/>
          <w:sz w:val="24"/>
          <w:szCs w:val="24"/>
        </w:rPr>
      </w:pPr>
      <w:r>
        <w:rPr>
          <w:rFonts w:ascii="黑体" w:eastAsia="黑体" w:hAnsi="黑体" w:cs="黑体" w:hint="eastAsia"/>
          <w:color w:val="000000" w:themeColor="text1"/>
          <w:szCs w:val="21"/>
        </w:rPr>
        <w:lastRenderedPageBreak/>
        <w:t>7.2.3.3 灌溉量</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栽后灌水，每</w:t>
      </w:r>
      <w:proofErr w:type="gramStart"/>
      <w:r>
        <w:rPr>
          <w:rFonts w:ascii="宋体" w:eastAsia="宋体" w:hAnsi="宋体" w:cs="宋体" w:hint="eastAsia"/>
          <w:color w:val="000000" w:themeColor="text1"/>
          <w:szCs w:val="21"/>
        </w:rPr>
        <w:t>穴至少</w:t>
      </w:r>
      <w:proofErr w:type="gramEnd"/>
      <w:r>
        <w:rPr>
          <w:rFonts w:ascii="宋体" w:eastAsia="宋体" w:hAnsi="宋体" w:cs="宋体" w:hint="eastAsia"/>
          <w:color w:val="000000" w:themeColor="text1"/>
          <w:szCs w:val="21"/>
        </w:rPr>
        <w:t>灌水40 kg以上。</w:t>
      </w:r>
    </w:p>
    <w:p w:rsidR="00A646F9" w:rsidRDefault="00781025">
      <w:pPr>
        <w:spacing w:line="400" w:lineRule="atLeast"/>
        <w:contextualSpacing/>
        <w:rPr>
          <w:rFonts w:ascii="宋体" w:eastAsia="宋体" w:hAnsi="宋体" w:cs="宋体"/>
          <w:b/>
          <w:bCs/>
          <w:color w:val="000000" w:themeColor="text1"/>
          <w:szCs w:val="21"/>
        </w:rPr>
      </w:pPr>
      <w:r>
        <w:rPr>
          <w:rFonts w:ascii="黑体" w:eastAsia="黑体" w:hAnsi="黑体" w:cs="黑体" w:hint="eastAsia"/>
          <w:color w:val="000000" w:themeColor="text1"/>
          <w:szCs w:val="21"/>
        </w:rPr>
        <w:t>7.2.3.4 排水</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降雨量偏大的年份和降雨量集中的季节，要疏通沟渠，排水防涝。</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7.3  成龄期土肥水管理</w:t>
      </w:r>
    </w:p>
    <w:p w:rsidR="00A646F9" w:rsidRDefault="00781025">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7.3.1 土壤管理</w:t>
      </w:r>
    </w:p>
    <w:p w:rsidR="00A646F9" w:rsidRDefault="00781025">
      <w:pPr>
        <w:spacing w:line="400" w:lineRule="atLeast"/>
        <w:ind w:firstLineChars="200" w:firstLine="420"/>
        <w:contextualSpacing/>
        <w:rPr>
          <w:rFonts w:ascii="黑体" w:eastAsia="黑体" w:hAnsi="黑体" w:cs="黑体"/>
          <w:color w:val="000000" w:themeColor="text1"/>
          <w:szCs w:val="21"/>
        </w:rPr>
      </w:pPr>
      <w:r>
        <w:rPr>
          <w:rFonts w:ascii="宋体" w:eastAsia="宋体" w:hAnsi="宋体" w:cs="宋体" w:hint="eastAsia"/>
          <w:color w:val="000000" w:themeColor="text1"/>
          <w:szCs w:val="21"/>
        </w:rPr>
        <w:t>参照7.2.1。</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7.3.2 施肥技术</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7.3.2.1 施肥时间</w:t>
      </w:r>
    </w:p>
    <w:p w:rsidR="00A646F9" w:rsidRDefault="00781025">
      <w:pPr>
        <w:spacing w:beforeLines="50" w:before="156" w:afterLines="50" w:after="156" w:line="400" w:lineRule="atLeast"/>
        <w:ind w:firstLineChars="200" w:firstLine="420"/>
        <w:contextualSpacing/>
        <w:rPr>
          <w:rFonts w:ascii="黑体" w:eastAsia="黑体" w:hAnsi="黑体" w:cs="黑体"/>
          <w:color w:val="000000" w:themeColor="text1"/>
          <w:szCs w:val="21"/>
        </w:rPr>
      </w:pPr>
      <w:r>
        <w:rPr>
          <w:rFonts w:ascii="宋体" w:eastAsia="宋体" w:hAnsi="宋体" w:cs="宋体" w:hint="eastAsia"/>
          <w:color w:val="000000" w:themeColor="text1"/>
          <w:szCs w:val="21"/>
        </w:rPr>
        <w:t>参照7.2.2.2。</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7.3.2.2 施肥方法</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参照7.2.2.3。</w:t>
      </w:r>
    </w:p>
    <w:p w:rsidR="00A646F9" w:rsidRDefault="00781025">
      <w:pPr>
        <w:spacing w:beforeLines="50" w:before="156" w:afterLines="50" w:after="156" w:line="400" w:lineRule="atLeast"/>
        <w:contextualSpacing/>
        <w:rPr>
          <w:rFonts w:ascii="宋体" w:eastAsia="宋体" w:hAnsi="宋体" w:cs="宋体"/>
          <w:color w:val="000000" w:themeColor="text1"/>
          <w:szCs w:val="21"/>
        </w:rPr>
      </w:pPr>
      <w:r>
        <w:rPr>
          <w:rFonts w:ascii="黑体" w:eastAsia="黑体" w:hAnsi="黑体" w:cs="黑体" w:hint="eastAsia"/>
          <w:color w:val="000000" w:themeColor="text1"/>
          <w:szCs w:val="21"/>
        </w:rPr>
        <w:t>7.3.2.3 施肥量</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a</w:t>
      </w:r>
      <w:r>
        <w:rPr>
          <w:rFonts w:ascii="宋体" w:eastAsia="宋体" w:hAnsi="宋体" w:cs="宋体" w:hint="eastAsia"/>
          <w:color w:val="000000" w:themeColor="text1"/>
          <w:szCs w:val="21"/>
        </w:rPr>
        <w:t>）基肥：以腐熟的有机肥为主，盛果期树200㎏/株～250㎏/株。</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b）</w:t>
      </w:r>
      <w:r>
        <w:rPr>
          <w:rFonts w:ascii="宋体" w:eastAsia="宋体" w:hAnsi="宋体" w:cs="宋体" w:hint="eastAsia"/>
          <w:color w:val="000000" w:themeColor="text1"/>
          <w:szCs w:val="21"/>
        </w:rPr>
        <w:t>追肥：以叶面喷施为主，全年4次～5次，硬核期前2次，以氮肥为主；硬核期至果实成熟期2次～3次，以磷、钾肥为主，可补施核桃生长发育所需的微量元素。常用肥料浓度：尿素</w:t>
      </w:r>
      <w:r>
        <w:rPr>
          <w:rFonts w:ascii="Arial" w:eastAsia="宋体" w:hAnsi="Arial" w:cs="Arial" w:hint="eastAsia"/>
          <w:color w:val="000000" w:themeColor="text1"/>
          <w:szCs w:val="21"/>
        </w:rPr>
        <w:t>≤</w:t>
      </w:r>
      <w:r>
        <w:rPr>
          <w:rFonts w:ascii="宋体" w:eastAsia="宋体" w:hAnsi="宋体" w:cs="宋体" w:hint="eastAsia"/>
          <w:color w:val="000000" w:themeColor="text1"/>
          <w:szCs w:val="21"/>
        </w:rPr>
        <w:t>0.2%，磷酸二氢钾0.2%～0.3%，硼砂0.1%～0.3%，氨基酸类叶面肥600倍液～800倍液。最后一次叶面肥应在果实采收期前20 d喷施。</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7.3.3 灌水与排水</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参照7.2.3。</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 xml:space="preserve">7.4 病虫害防治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7.4.1 主要病虫害种类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主要病害为核桃黑斑病、炭疽病、枝枯病、褐斑病、干腐病、溃疡病、腐烂病等；主要虫害有核桃举肢蛾、云斑天牛、横沟</w:t>
      </w:r>
      <w:proofErr w:type="gramStart"/>
      <w:r>
        <w:rPr>
          <w:rFonts w:ascii="宋体" w:eastAsia="宋体" w:hAnsi="宋体" w:cs="宋体" w:hint="eastAsia"/>
          <w:color w:val="000000" w:themeColor="text1"/>
          <w:szCs w:val="21"/>
        </w:rPr>
        <w:t>象</w:t>
      </w:r>
      <w:proofErr w:type="gramEnd"/>
      <w:r>
        <w:rPr>
          <w:rFonts w:ascii="宋体" w:eastAsia="宋体" w:hAnsi="宋体" w:cs="宋体" w:hint="eastAsia"/>
          <w:color w:val="000000" w:themeColor="text1"/>
          <w:szCs w:val="21"/>
        </w:rPr>
        <w:t>、桑白</w:t>
      </w:r>
      <w:proofErr w:type="gramStart"/>
      <w:r>
        <w:rPr>
          <w:rFonts w:ascii="宋体" w:eastAsia="宋体" w:hAnsi="宋体" w:cs="宋体" w:hint="eastAsia"/>
          <w:color w:val="000000" w:themeColor="text1"/>
          <w:szCs w:val="21"/>
        </w:rPr>
        <w:t>蚧</w:t>
      </w:r>
      <w:proofErr w:type="gramEnd"/>
      <w:r>
        <w:rPr>
          <w:rFonts w:ascii="宋体" w:eastAsia="宋体" w:hAnsi="宋体" w:cs="宋体" w:hint="eastAsia"/>
          <w:color w:val="000000" w:themeColor="text1"/>
          <w:szCs w:val="21"/>
        </w:rPr>
        <w:t>、刺蛾类、银杏大蚕蛾、核桃吉丁虫、芳香木蠹蛾、草履</w:t>
      </w:r>
      <w:proofErr w:type="gramStart"/>
      <w:r>
        <w:rPr>
          <w:rFonts w:ascii="宋体" w:eastAsia="宋体" w:hAnsi="宋体" w:cs="宋体" w:hint="eastAsia"/>
          <w:color w:val="000000" w:themeColor="text1"/>
          <w:szCs w:val="21"/>
        </w:rPr>
        <w:t>蚧</w:t>
      </w:r>
      <w:proofErr w:type="gramEnd"/>
      <w:r>
        <w:rPr>
          <w:rFonts w:ascii="宋体" w:eastAsia="宋体" w:hAnsi="宋体" w:cs="宋体" w:hint="eastAsia"/>
          <w:color w:val="000000" w:themeColor="text1"/>
          <w:szCs w:val="21"/>
        </w:rPr>
        <w:t>、</w:t>
      </w:r>
      <w:proofErr w:type="gramStart"/>
      <w:r>
        <w:rPr>
          <w:rFonts w:ascii="宋体" w:eastAsia="宋体" w:hAnsi="宋体" w:cs="宋体" w:hint="eastAsia"/>
          <w:color w:val="000000" w:themeColor="text1"/>
          <w:szCs w:val="21"/>
        </w:rPr>
        <w:t>扁叶甲</w:t>
      </w:r>
      <w:proofErr w:type="gramEnd"/>
      <w:r>
        <w:rPr>
          <w:rFonts w:ascii="宋体" w:eastAsia="宋体" w:hAnsi="宋体" w:cs="宋体" w:hint="eastAsia"/>
          <w:color w:val="000000" w:themeColor="text1"/>
          <w:szCs w:val="21"/>
        </w:rPr>
        <w:t xml:space="preserve">、黑绒金龟子等。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7.4.2 防治原则</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坚持“预防为主，综合防治”的方针，采用农业措施、物理措施、生物措施和化学农药防控。合理使用高效、低毒、低残留化学农药。农药使用应符合NY/T 393的规定。</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7.4.3 农业防治 </w:t>
      </w:r>
    </w:p>
    <w:p w:rsidR="00A646F9" w:rsidRDefault="00781025">
      <w:pPr>
        <w:spacing w:line="400" w:lineRule="exact"/>
        <w:ind w:firstLineChars="200" w:firstLine="420"/>
        <w:contextualSpacing/>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选栽抗病、抗逆性强的优良品种；科学选址建园，优化种植结构；冬、春季剪除病虫枝、干枯枝，清除落叶、杂草，刮除树干老翘皮，集中烧毁或无害化处理，减少病虫源，降低病虫基数；冬春耕翻树盘、基部堆土、树盘覆膜、树干涂白，防草、防冻、减少越冬害虫</w:t>
      </w:r>
      <w:r>
        <w:rPr>
          <w:rFonts w:ascii="Times New Roman" w:eastAsia="宋体" w:hAnsi="Times New Roman" w:cs="Times New Roman" w:hint="eastAsia"/>
          <w:color w:val="000000" w:themeColor="text1"/>
          <w:szCs w:val="21"/>
        </w:rPr>
        <w:t>基数</w:t>
      </w:r>
      <w:r>
        <w:rPr>
          <w:rFonts w:ascii="Times New Roman" w:eastAsia="宋体" w:hAnsi="Times New Roman" w:cs="Times New Roman"/>
          <w:color w:val="000000" w:themeColor="text1"/>
          <w:szCs w:val="21"/>
        </w:rPr>
        <w:t>；加强水肥管理，通过科学整形修剪、深耕施肥、</w:t>
      </w:r>
      <w:r>
        <w:rPr>
          <w:rFonts w:ascii="Times New Roman" w:eastAsia="宋体" w:hAnsi="Times New Roman" w:cs="Times New Roman" w:hint="eastAsia"/>
          <w:color w:val="000000" w:themeColor="text1"/>
          <w:szCs w:val="21"/>
        </w:rPr>
        <w:t>核桃</w:t>
      </w:r>
      <w:r>
        <w:rPr>
          <w:rFonts w:ascii="Times New Roman" w:eastAsia="宋体" w:hAnsi="Times New Roman" w:cs="Times New Roman"/>
          <w:color w:val="000000" w:themeColor="text1"/>
          <w:szCs w:val="21"/>
        </w:rPr>
        <w:t>园生草、秸秆覆盖、增施有机肥、</w:t>
      </w:r>
      <w:proofErr w:type="gramStart"/>
      <w:r>
        <w:rPr>
          <w:rFonts w:ascii="Times New Roman" w:eastAsia="宋体" w:hAnsi="Times New Roman" w:cs="Times New Roman"/>
          <w:color w:val="000000" w:themeColor="text1"/>
          <w:szCs w:val="21"/>
        </w:rPr>
        <w:t>旱浇</w:t>
      </w:r>
      <w:r>
        <w:rPr>
          <w:rFonts w:ascii="Times New Roman" w:eastAsia="宋体" w:hAnsi="Times New Roman" w:cs="Times New Roman"/>
          <w:color w:val="000000" w:themeColor="text1"/>
          <w:szCs w:val="21"/>
        </w:rPr>
        <w:lastRenderedPageBreak/>
        <w:t>涝排</w:t>
      </w:r>
      <w:proofErr w:type="gramEnd"/>
      <w:r>
        <w:rPr>
          <w:rFonts w:ascii="Times New Roman" w:eastAsia="宋体" w:hAnsi="Times New Roman" w:cs="Times New Roman"/>
          <w:color w:val="000000" w:themeColor="text1"/>
          <w:szCs w:val="21"/>
        </w:rPr>
        <w:t>、中耕除草等措施强壮树势，提高树体</w:t>
      </w:r>
      <w:r>
        <w:rPr>
          <w:rFonts w:ascii="Times New Roman" w:eastAsia="宋体" w:hAnsi="Times New Roman" w:cs="Times New Roman" w:hint="eastAsia"/>
          <w:color w:val="000000" w:themeColor="text1"/>
          <w:szCs w:val="21"/>
        </w:rPr>
        <w:t>抗</w:t>
      </w:r>
      <w:r>
        <w:rPr>
          <w:rFonts w:ascii="Times New Roman" w:eastAsia="宋体" w:hAnsi="Times New Roman" w:cs="Times New Roman"/>
          <w:color w:val="000000" w:themeColor="text1"/>
          <w:szCs w:val="21"/>
        </w:rPr>
        <w:t>病虫能力；对受害严重且已经失去生产能力的</w:t>
      </w:r>
      <w:r>
        <w:rPr>
          <w:rFonts w:ascii="Times New Roman" w:eastAsia="宋体" w:hAnsi="Times New Roman" w:cs="Times New Roman" w:hint="eastAsia"/>
          <w:color w:val="000000" w:themeColor="text1"/>
          <w:szCs w:val="21"/>
        </w:rPr>
        <w:t>核桃</w:t>
      </w:r>
      <w:r>
        <w:rPr>
          <w:rFonts w:ascii="Times New Roman" w:eastAsia="宋体" w:hAnsi="Times New Roman" w:cs="Times New Roman"/>
          <w:color w:val="000000" w:themeColor="text1"/>
          <w:szCs w:val="21"/>
        </w:rPr>
        <w:t>树，及时砍伐烧毁，消灭</w:t>
      </w:r>
      <w:r>
        <w:rPr>
          <w:rFonts w:ascii="Times New Roman" w:eastAsia="宋体" w:hAnsi="Times New Roman" w:cs="Times New Roman" w:hint="eastAsia"/>
          <w:color w:val="000000" w:themeColor="text1"/>
          <w:szCs w:val="21"/>
        </w:rPr>
        <w:t>病</w:t>
      </w:r>
      <w:r>
        <w:rPr>
          <w:rFonts w:ascii="Times New Roman" w:eastAsia="宋体" w:hAnsi="Times New Roman" w:cs="Times New Roman"/>
          <w:color w:val="000000" w:themeColor="text1"/>
          <w:szCs w:val="21"/>
        </w:rPr>
        <w:t>虫源；采用灌水法和挖掘法消灭鼠害。</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7.4.4 物理防治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7.4.4.1 灯光诱杀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成虫发生期，使用太阳能黑光灯诱杀云斑天牛、芳香木蠹蛾、刺蛾类害虫的成虫。</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7.4.4.2 粘虫板、</w:t>
      </w:r>
      <w:proofErr w:type="gramStart"/>
      <w:r>
        <w:rPr>
          <w:rFonts w:ascii="黑体" w:eastAsia="黑体" w:hAnsi="黑体" w:cs="黑体" w:hint="eastAsia"/>
          <w:color w:val="000000" w:themeColor="text1"/>
          <w:szCs w:val="21"/>
        </w:rPr>
        <w:t>诱</w:t>
      </w:r>
      <w:proofErr w:type="gramEnd"/>
      <w:r>
        <w:rPr>
          <w:rFonts w:ascii="黑体" w:eastAsia="黑体" w:hAnsi="黑体" w:cs="黑体" w:hint="eastAsia"/>
          <w:color w:val="000000" w:themeColor="text1"/>
          <w:szCs w:val="21"/>
        </w:rPr>
        <w:t xml:space="preserve">虫带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使用粘虫板、</w:t>
      </w:r>
      <w:proofErr w:type="gramStart"/>
      <w:r>
        <w:rPr>
          <w:rFonts w:ascii="宋体" w:eastAsia="宋体" w:hAnsi="宋体" w:cs="宋体" w:hint="eastAsia"/>
          <w:color w:val="000000" w:themeColor="text1"/>
          <w:szCs w:val="21"/>
        </w:rPr>
        <w:t>诱</w:t>
      </w:r>
      <w:proofErr w:type="gramEnd"/>
      <w:r>
        <w:rPr>
          <w:rFonts w:ascii="宋体" w:eastAsia="宋体" w:hAnsi="宋体" w:cs="宋体" w:hint="eastAsia"/>
          <w:color w:val="000000" w:themeColor="text1"/>
          <w:szCs w:val="21"/>
        </w:rPr>
        <w:t>虫带等诱杀有翅蚜虫、草履</w:t>
      </w:r>
      <w:proofErr w:type="gramStart"/>
      <w:r>
        <w:rPr>
          <w:rFonts w:ascii="宋体" w:eastAsia="宋体" w:hAnsi="宋体" w:cs="宋体" w:hint="eastAsia"/>
          <w:color w:val="000000" w:themeColor="text1"/>
          <w:szCs w:val="21"/>
        </w:rPr>
        <w:t>蚧</w:t>
      </w:r>
      <w:proofErr w:type="gramEnd"/>
      <w:r>
        <w:rPr>
          <w:rFonts w:ascii="宋体" w:eastAsia="宋体" w:hAnsi="宋体" w:cs="宋体" w:hint="eastAsia"/>
          <w:color w:val="000000" w:themeColor="text1"/>
          <w:szCs w:val="21"/>
        </w:rPr>
        <w:t xml:space="preserve">等。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7.4.4.3 人工措施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 xml:space="preserve">对发生较轻、危害中心明显及有假死性的害虫，采用人工捕杀；也可悬挂害虫尸体，利用气味趋避，减轻危害。对腐烂病可采用人工刮除病斑等方法；进行树干涂白，既可防控蛀干害虫，又可预防冻害。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7.4.5 生物防治</w:t>
      </w:r>
    </w:p>
    <w:p w:rsidR="00A646F9" w:rsidRDefault="00781025">
      <w:pPr>
        <w:spacing w:beforeLines="50" w:before="156" w:afterLines="50" w:after="156" w:line="400" w:lineRule="atLeast"/>
        <w:ind w:firstLineChars="200" w:firstLine="420"/>
        <w:contextualSpacing/>
        <w:rPr>
          <w:rFonts w:ascii="黑体" w:eastAsia="黑体" w:hAnsi="黑体" w:cs="黑体"/>
          <w:color w:val="000000" w:themeColor="text1"/>
          <w:szCs w:val="21"/>
        </w:rPr>
      </w:pPr>
      <w:r>
        <w:rPr>
          <w:rFonts w:ascii="Times New Roman" w:eastAsia="宋体" w:hAnsi="Times New Roman" w:cs="Times New Roman"/>
          <w:color w:val="000000" w:themeColor="text1"/>
          <w:szCs w:val="21"/>
        </w:rPr>
        <w:t>充分</w:t>
      </w:r>
      <w:r>
        <w:rPr>
          <w:rFonts w:ascii="宋体" w:eastAsia="宋体" w:hAnsi="宋体" w:cs="宋体" w:hint="eastAsia"/>
          <w:color w:val="000000" w:themeColor="text1"/>
          <w:szCs w:val="21"/>
        </w:rPr>
        <w:t>保护和利用天敌防治害虫，如利用瓢虫、草蛉、食蚜蝇等防治蚜虫；</w:t>
      </w:r>
      <w:r>
        <w:rPr>
          <w:rFonts w:ascii="Times New Roman" w:eastAsia="宋体" w:hAnsi="Times New Roman" w:cs="Times New Roman"/>
          <w:color w:val="000000" w:themeColor="text1"/>
          <w:szCs w:val="21"/>
        </w:rPr>
        <w:t>林间套种对害虫具有趋避作用的植物；</w:t>
      </w:r>
      <w:r>
        <w:rPr>
          <w:rFonts w:ascii="宋体" w:eastAsia="宋体" w:hAnsi="宋体" w:cs="宋体" w:hint="eastAsia"/>
          <w:color w:val="000000" w:themeColor="text1"/>
          <w:szCs w:val="21"/>
        </w:rPr>
        <w:t>利用</w:t>
      </w:r>
      <w:r>
        <w:rPr>
          <w:rFonts w:ascii="Times New Roman" w:eastAsia="宋体" w:hAnsi="Times New Roman" w:cs="Times New Roman"/>
          <w:color w:val="000000" w:themeColor="text1"/>
          <w:szCs w:val="21"/>
        </w:rPr>
        <w:t>啄木鸟</w:t>
      </w:r>
      <w:r>
        <w:rPr>
          <w:rFonts w:ascii="Times New Roman" w:eastAsia="宋体" w:hAnsi="Times New Roman" w:cs="Times New Roman" w:hint="eastAsia"/>
          <w:color w:val="000000" w:themeColor="text1"/>
          <w:szCs w:val="21"/>
        </w:rPr>
        <w:t>等</w:t>
      </w:r>
      <w:r>
        <w:rPr>
          <w:rFonts w:ascii="宋体" w:eastAsia="宋体" w:hAnsi="宋体" w:cs="宋体" w:hint="eastAsia"/>
          <w:color w:val="000000" w:themeColor="text1"/>
          <w:szCs w:val="21"/>
        </w:rPr>
        <w:t>以鸟治虫的方法。</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7.4.6 化学防治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Times New Roman" w:eastAsia="宋体" w:hAnsi="Times New Roman" w:cs="Times New Roman"/>
          <w:color w:val="000000" w:themeColor="text1"/>
          <w:szCs w:val="21"/>
        </w:rPr>
        <w:t>根据病虫害发生规律进行化学防治，以防为主，农药使用以矿物源、植物源和生物源农药为主，采取轮换使用或混用方式，避免连续施用单一农药。</w:t>
      </w:r>
      <w:r>
        <w:rPr>
          <w:rFonts w:ascii="Times New Roman" w:eastAsia="宋体" w:hAnsi="Times New Roman" w:cs="Times New Roman" w:hint="eastAsia"/>
          <w:color w:val="000000" w:themeColor="text1"/>
          <w:szCs w:val="21"/>
        </w:rPr>
        <w:t>核桃</w:t>
      </w:r>
      <w:r>
        <w:rPr>
          <w:rFonts w:ascii="Times New Roman" w:eastAsia="宋体" w:hAnsi="Times New Roman" w:cs="Times New Roman"/>
          <w:color w:val="000000" w:themeColor="text1"/>
          <w:szCs w:val="21"/>
        </w:rPr>
        <w:t>主要病虫害防治推荐农药使用方案</w:t>
      </w:r>
      <w:r>
        <w:rPr>
          <w:rFonts w:ascii="宋体" w:eastAsia="宋体" w:hAnsi="宋体" w:cs="宋体" w:hint="eastAsia"/>
          <w:color w:val="000000" w:themeColor="text1"/>
          <w:szCs w:val="21"/>
        </w:rPr>
        <w:t>详见附录A。</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7.5  整形与修剪</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7.5.1 整形</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7.5.1.1 定干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栽植当年或第二年定干，定</w:t>
      </w:r>
      <w:proofErr w:type="gramStart"/>
      <w:r>
        <w:rPr>
          <w:rFonts w:ascii="宋体" w:eastAsia="宋体" w:hAnsi="宋体" w:cs="宋体" w:hint="eastAsia"/>
          <w:color w:val="000000" w:themeColor="text1"/>
          <w:szCs w:val="21"/>
        </w:rPr>
        <w:t>干高度</w:t>
      </w:r>
      <w:proofErr w:type="gramEnd"/>
      <w:r>
        <w:rPr>
          <w:rFonts w:ascii="宋体" w:eastAsia="宋体" w:hAnsi="宋体" w:cs="宋体"/>
          <w:color w:val="000000" w:themeColor="text1"/>
          <w:szCs w:val="21"/>
        </w:rPr>
        <w:t>≥</w:t>
      </w:r>
      <w:r>
        <w:rPr>
          <w:rFonts w:ascii="宋体" w:eastAsia="宋体" w:hAnsi="宋体" w:cs="宋体" w:hint="eastAsia"/>
          <w:color w:val="000000" w:themeColor="text1"/>
          <w:szCs w:val="21"/>
        </w:rPr>
        <w:t>120 cm。栽植后3 a～5 a完成整形。</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7.5.1.2 树形培养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a</w:t>
      </w:r>
      <w:r>
        <w:rPr>
          <w:rFonts w:ascii="宋体" w:eastAsia="宋体" w:hAnsi="宋体" w:cs="宋体" w:hint="eastAsia"/>
          <w:color w:val="000000" w:themeColor="text1"/>
          <w:szCs w:val="21"/>
        </w:rPr>
        <w:t>） 主干疏散分层形</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主干高100 cm～120 cm，树高4.5 m～6.0 m。全树5个～7个主枝，分2层～3层，层间距80 cm～100 cm。基部三主枝，第二、第三层各留2个主枝。基部三个骨干</w:t>
      </w:r>
      <w:proofErr w:type="gramStart"/>
      <w:r>
        <w:rPr>
          <w:rFonts w:ascii="宋体" w:eastAsia="宋体" w:hAnsi="宋体" w:cs="宋体" w:hint="eastAsia"/>
          <w:color w:val="000000" w:themeColor="text1"/>
          <w:szCs w:val="21"/>
        </w:rPr>
        <w:t>枝最多</w:t>
      </w:r>
      <w:proofErr w:type="gramEnd"/>
      <w:r>
        <w:rPr>
          <w:rFonts w:ascii="宋体" w:eastAsia="宋体" w:hAnsi="宋体" w:cs="宋体" w:hint="eastAsia"/>
          <w:color w:val="000000" w:themeColor="text1"/>
          <w:szCs w:val="21"/>
        </w:rPr>
        <w:t>可留1个侧枝，其他各层骨干枝不留侧枝。</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 xml:space="preserve">b） </w:t>
      </w:r>
      <w:r>
        <w:rPr>
          <w:rFonts w:ascii="宋体" w:eastAsia="宋体" w:hAnsi="宋体" w:cs="宋体" w:hint="eastAsia"/>
          <w:color w:val="000000" w:themeColor="text1"/>
          <w:szCs w:val="21"/>
        </w:rPr>
        <w:t>单层高位开心形</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主干高100 cm～120 cm，树高3.5 m～4.5 m。主干不同方位选留3个～5个主枝，向上每间隔15 cm～20 cm插空排列6个～8个单轴结果大枝，2 a～4 a更新一次。</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color w:val="000000" w:themeColor="text1"/>
          <w:szCs w:val="21"/>
        </w:rPr>
        <w:t>c</w:t>
      </w:r>
      <w:r>
        <w:rPr>
          <w:rFonts w:ascii="宋体" w:eastAsia="宋体" w:hAnsi="宋体" w:cs="宋体" w:hint="eastAsia"/>
          <w:color w:val="000000" w:themeColor="text1"/>
          <w:szCs w:val="21"/>
        </w:rPr>
        <w:t>） 纺</w:t>
      </w:r>
      <w:proofErr w:type="gramStart"/>
      <w:r>
        <w:rPr>
          <w:rFonts w:ascii="宋体" w:eastAsia="宋体" w:hAnsi="宋体" w:cs="宋体" w:hint="eastAsia"/>
          <w:color w:val="000000" w:themeColor="text1"/>
          <w:szCs w:val="21"/>
        </w:rPr>
        <w:t>缍</w:t>
      </w:r>
      <w:proofErr w:type="gramEnd"/>
      <w:r>
        <w:rPr>
          <w:rFonts w:ascii="宋体" w:eastAsia="宋体" w:hAnsi="宋体" w:cs="宋体" w:hint="eastAsia"/>
          <w:color w:val="000000" w:themeColor="text1"/>
          <w:szCs w:val="21"/>
        </w:rPr>
        <w:t>形</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主干高110 cm～150 cm，树高5.0 m～6.0 m。</w:t>
      </w:r>
      <w:proofErr w:type="gramStart"/>
      <w:r>
        <w:rPr>
          <w:rFonts w:ascii="宋体" w:eastAsia="宋体" w:hAnsi="宋体" w:cs="宋体" w:hint="eastAsia"/>
          <w:color w:val="000000" w:themeColor="text1"/>
          <w:szCs w:val="21"/>
        </w:rPr>
        <w:t>均匀着</w:t>
      </w:r>
      <w:proofErr w:type="gramEnd"/>
      <w:r>
        <w:rPr>
          <w:rFonts w:ascii="宋体" w:eastAsia="宋体" w:hAnsi="宋体" w:cs="宋体" w:hint="eastAsia"/>
          <w:color w:val="000000" w:themeColor="text1"/>
          <w:szCs w:val="21"/>
        </w:rPr>
        <w:t>生8个～12个骨干枝，骨干枝开张角度在80°～100°。下层</w:t>
      </w:r>
      <w:proofErr w:type="gramStart"/>
      <w:r>
        <w:rPr>
          <w:rFonts w:ascii="宋体" w:eastAsia="宋体" w:hAnsi="宋体" w:cs="宋体" w:hint="eastAsia"/>
          <w:color w:val="000000" w:themeColor="text1"/>
          <w:szCs w:val="21"/>
        </w:rPr>
        <w:t>骨干枝略大于</w:t>
      </w:r>
      <w:proofErr w:type="gramEnd"/>
      <w:r>
        <w:rPr>
          <w:rFonts w:ascii="宋体" w:eastAsia="宋体" w:hAnsi="宋体" w:cs="宋体" w:hint="eastAsia"/>
          <w:color w:val="000000" w:themeColor="text1"/>
          <w:szCs w:val="21"/>
        </w:rPr>
        <w:t>上层骨干枝，树冠下大上小，呈纺</w:t>
      </w:r>
      <w:proofErr w:type="gramStart"/>
      <w:r>
        <w:rPr>
          <w:rFonts w:ascii="宋体" w:eastAsia="宋体" w:hAnsi="宋体" w:cs="宋体" w:hint="eastAsia"/>
          <w:color w:val="000000" w:themeColor="text1"/>
          <w:szCs w:val="21"/>
        </w:rPr>
        <w:t>缍</w:t>
      </w:r>
      <w:proofErr w:type="gramEnd"/>
      <w:r>
        <w:rPr>
          <w:rFonts w:ascii="宋体" w:eastAsia="宋体" w:hAnsi="宋体" w:cs="宋体" w:hint="eastAsia"/>
          <w:color w:val="000000" w:themeColor="text1"/>
          <w:szCs w:val="21"/>
        </w:rPr>
        <w:t>形。</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7.5.2 修剪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lastRenderedPageBreak/>
        <w:t xml:space="preserve">7.5.2.1 修剪时期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 xml:space="preserve">冬季修剪在落叶后至春季萌动前，常在11月下旬至翌年3月上旬进行；夏季修剪在萌芽后至秋季落叶前，宜在4月中旬至8月中旬进行。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7.5.2.2 修剪方法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7.5.2.2.1 主干疏散分层形</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a) 中心干和主枝选留。选择健壮方向竖直（</w:t>
      </w:r>
      <w:proofErr w:type="gramStart"/>
      <w:r>
        <w:rPr>
          <w:rFonts w:ascii="宋体" w:eastAsia="宋体" w:hAnsi="宋体" w:cs="宋体" w:hint="eastAsia"/>
          <w:color w:val="000000" w:themeColor="text1"/>
          <w:szCs w:val="21"/>
        </w:rPr>
        <w:t>基角约</w:t>
      </w:r>
      <w:proofErr w:type="gramEnd"/>
      <w:r>
        <w:rPr>
          <w:rFonts w:ascii="宋体" w:eastAsia="宋体" w:hAnsi="宋体" w:cs="宋体" w:hint="eastAsia"/>
          <w:color w:val="000000" w:themeColor="text1"/>
          <w:szCs w:val="21"/>
        </w:rPr>
        <w:t>90°）的主枝为中心干，并选留3个不同方位（水平夹角 120°）、相邻枝间距30 cm～40 cm生长健壮的枝条培养成第1 层主枝，</w:t>
      </w:r>
      <w:proofErr w:type="gramStart"/>
      <w:r>
        <w:rPr>
          <w:rFonts w:ascii="宋体" w:eastAsia="宋体" w:hAnsi="宋体" w:cs="宋体" w:hint="eastAsia"/>
          <w:color w:val="000000" w:themeColor="text1"/>
          <w:szCs w:val="21"/>
        </w:rPr>
        <w:t>主枝基角</w:t>
      </w:r>
      <w:proofErr w:type="gramEnd"/>
      <w:r>
        <w:rPr>
          <w:rFonts w:ascii="宋体" w:eastAsia="宋体" w:hAnsi="宋体" w:cs="宋体"/>
          <w:color w:val="000000" w:themeColor="text1"/>
          <w:szCs w:val="21"/>
        </w:rPr>
        <w:t>≥</w:t>
      </w:r>
      <w:r>
        <w:rPr>
          <w:rFonts w:ascii="宋体" w:eastAsia="宋体" w:hAnsi="宋体" w:cs="宋体" w:hint="eastAsia"/>
          <w:color w:val="000000" w:themeColor="text1"/>
          <w:szCs w:val="21"/>
        </w:rPr>
        <w:t>60°，</w:t>
      </w:r>
      <w:proofErr w:type="gramStart"/>
      <w:r>
        <w:rPr>
          <w:rFonts w:ascii="宋体" w:eastAsia="宋体" w:hAnsi="宋体" w:cs="宋体" w:hint="eastAsia"/>
          <w:color w:val="000000" w:themeColor="text1"/>
          <w:szCs w:val="21"/>
        </w:rPr>
        <w:t>腰角</w:t>
      </w:r>
      <w:proofErr w:type="gramEnd"/>
      <w:r>
        <w:rPr>
          <w:rFonts w:ascii="宋体" w:eastAsia="宋体" w:hAnsi="宋体" w:cs="宋体" w:hint="eastAsia"/>
          <w:color w:val="000000" w:themeColor="text1"/>
          <w:szCs w:val="21"/>
        </w:rPr>
        <w:t>70°～80°，</w:t>
      </w:r>
      <w:proofErr w:type="gramStart"/>
      <w:r>
        <w:rPr>
          <w:rFonts w:ascii="宋体" w:eastAsia="宋体" w:hAnsi="宋体" w:cs="宋体" w:hint="eastAsia"/>
          <w:color w:val="000000" w:themeColor="text1"/>
          <w:szCs w:val="21"/>
        </w:rPr>
        <w:t>梢角</w:t>
      </w:r>
      <w:proofErr w:type="gramEnd"/>
      <w:r>
        <w:rPr>
          <w:rFonts w:ascii="宋体" w:eastAsia="宋体" w:hAnsi="宋体" w:cs="宋体" w:hint="eastAsia"/>
          <w:color w:val="000000" w:themeColor="text1"/>
          <w:szCs w:val="21"/>
        </w:rPr>
        <w:t>60°～70°，其余枝条全部疏除；第2 层主枝和第3层主枝按照第1 层主枝要求，选留3个不同方位生长健壮枝条培养成每层主枝，层间距120 cm～150 cm，各层主枝交错选留，避免重叠。</w:t>
      </w:r>
    </w:p>
    <w:p w:rsidR="00A646F9" w:rsidRDefault="00781025">
      <w:pPr>
        <w:spacing w:beforeLines="50" w:before="156" w:afterLines="50" w:after="156" w:line="400" w:lineRule="atLeast"/>
        <w:ind w:firstLineChars="200" w:firstLine="420"/>
        <w:contextualSpacing/>
        <w:rPr>
          <w:rFonts w:ascii="黑体" w:eastAsia="黑体" w:hAnsi="黑体" w:cs="黑体"/>
          <w:color w:val="000000" w:themeColor="text1"/>
          <w:szCs w:val="21"/>
        </w:rPr>
      </w:pPr>
      <w:r>
        <w:rPr>
          <w:rFonts w:ascii="宋体" w:eastAsia="宋体" w:hAnsi="宋体" w:cs="宋体" w:hint="eastAsia"/>
          <w:color w:val="000000" w:themeColor="text1"/>
          <w:szCs w:val="21"/>
        </w:rPr>
        <w:t xml:space="preserve"> b) 侧枝</w:t>
      </w:r>
      <w:bookmarkStart w:id="14" w:name="_Hlk119737899"/>
      <w:r>
        <w:rPr>
          <w:rFonts w:ascii="宋体" w:eastAsia="宋体" w:hAnsi="宋体" w:cs="宋体" w:hint="eastAsia"/>
          <w:color w:val="000000" w:themeColor="text1"/>
          <w:szCs w:val="21"/>
        </w:rPr>
        <w:t>选留</w:t>
      </w:r>
      <w:bookmarkEnd w:id="14"/>
      <w:r>
        <w:rPr>
          <w:rFonts w:ascii="宋体" w:eastAsia="宋体" w:hAnsi="宋体" w:cs="宋体" w:hint="eastAsia"/>
          <w:color w:val="000000" w:themeColor="text1"/>
          <w:szCs w:val="21"/>
        </w:rPr>
        <w:t>。第一层主枝各选留侧枝3个，第二层</w:t>
      </w:r>
      <w:bookmarkStart w:id="15" w:name="_Hlk119707462"/>
      <w:r>
        <w:rPr>
          <w:rFonts w:ascii="宋体" w:eastAsia="宋体" w:hAnsi="宋体" w:cs="宋体" w:hint="eastAsia"/>
          <w:color w:val="000000" w:themeColor="text1"/>
          <w:szCs w:val="21"/>
        </w:rPr>
        <w:t>各</w:t>
      </w:r>
      <w:bookmarkEnd w:id="15"/>
      <w:r>
        <w:rPr>
          <w:rFonts w:ascii="宋体" w:eastAsia="宋体" w:hAnsi="宋体" w:cs="宋体" w:hint="eastAsia"/>
          <w:color w:val="000000" w:themeColor="text1"/>
          <w:szCs w:val="21"/>
        </w:rPr>
        <w:t>主枝选留2个～3个，第三层各主枝选留1个～2个；第一侧枝距中心干50 cm，第二侧枝距第一侧枝50 cm，第三侧枝距第二侧枝80 cm，侧枝与主枝的夹角45°～55°，各级侧枝选留斜生枝，</w:t>
      </w:r>
      <w:proofErr w:type="gramStart"/>
      <w:r>
        <w:rPr>
          <w:rFonts w:ascii="宋体" w:eastAsia="宋体" w:hAnsi="宋体" w:cs="宋体" w:hint="eastAsia"/>
          <w:color w:val="000000" w:themeColor="text1"/>
          <w:szCs w:val="21"/>
        </w:rPr>
        <w:t>忌留背下</w:t>
      </w:r>
      <w:proofErr w:type="gramEnd"/>
      <w:r>
        <w:rPr>
          <w:rFonts w:ascii="宋体" w:eastAsia="宋体" w:hAnsi="宋体" w:cs="宋体" w:hint="eastAsia"/>
          <w:color w:val="000000" w:themeColor="text1"/>
          <w:szCs w:val="21"/>
        </w:rPr>
        <w:t>枝，交错排列。</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7.5.2.2.2 幼树期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疏除过密</w:t>
      </w:r>
      <w:proofErr w:type="gramEnd"/>
      <w:r>
        <w:rPr>
          <w:rFonts w:ascii="宋体" w:eastAsia="宋体" w:hAnsi="宋体" w:cs="宋体" w:hint="eastAsia"/>
          <w:color w:val="000000" w:themeColor="text1"/>
          <w:szCs w:val="21"/>
        </w:rPr>
        <w:t>枝、交叉枝、重叠枝、背下枝、干枯枝和病虫枝，中度（剪除1/2）或轻度（剪除1/3或1/4）短截发育枝，使短枝数量</w:t>
      </w:r>
      <w:proofErr w:type="gramStart"/>
      <w:r>
        <w:rPr>
          <w:rFonts w:ascii="宋体" w:eastAsia="宋体" w:hAnsi="宋体" w:cs="宋体" w:hint="eastAsia"/>
          <w:color w:val="000000" w:themeColor="text1"/>
          <w:szCs w:val="21"/>
        </w:rPr>
        <w:t>占总枝量</w:t>
      </w:r>
      <w:proofErr w:type="gramEnd"/>
      <w:r>
        <w:rPr>
          <w:rFonts w:ascii="宋体" w:eastAsia="宋体" w:hAnsi="宋体" w:cs="宋体" w:hint="eastAsia"/>
          <w:color w:val="000000" w:themeColor="text1"/>
          <w:szCs w:val="21"/>
        </w:rPr>
        <w:t>的30%左右，并在树冠内均匀分布。</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7.5.2.2.3 结果初期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去强留弱，或先放后缩，放缩结合，防止结果部位外移。</w:t>
      </w:r>
      <w:proofErr w:type="gramStart"/>
      <w:r>
        <w:rPr>
          <w:rFonts w:ascii="宋体" w:eastAsia="宋体" w:hAnsi="宋体" w:cs="宋体" w:hint="eastAsia"/>
          <w:color w:val="000000" w:themeColor="text1"/>
          <w:szCs w:val="21"/>
        </w:rPr>
        <w:t>疏除影响</w:t>
      </w:r>
      <w:proofErr w:type="gramEnd"/>
      <w:r>
        <w:rPr>
          <w:rFonts w:ascii="宋体" w:eastAsia="宋体" w:hAnsi="宋体" w:cs="宋体" w:hint="eastAsia"/>
          <w:color w:val="000000" w:themeColor="text1"/>
          <w:szCs w:val="21"/>
        </w:rPr>
        <w:t>主、侧枝的</w:t>
      </w:r>
      <w:proofErr w:type="gramStart"/>
      <w:r>
        <w:rPr>
          <w:rFonts w:ascii="宋体" w:eastAsia="宋体" w:hAnsi="宋体" w:cs="宋体" w:hint="eastAsia"/>
          <w:color w:val="000000" w:themeColor="text1"/>
          <w:szCs w:val="21"/>
        </w:rPr>
        <w:t>辅养枝</w:t>
      </w:r>
      <w:proofErr w:type="gramEnd"/>
      <w:r>
        <w:rPr>
          <w:rFonts w:ascii="宋体" w:eastAsia="宋体" w:hAnsi="宋体" w:cs="宋体" w:hint="eastAsia"/>
          <w:color w:val="000000" w:themeColor="text1"/>
          <w:szCs w:val="21"/>
        </w:rPr>
        <w:t>，二次枝摘心或短截，培养结果枝组，使结果枝数量</w:t>
      </w:r>
      <w:proofErr w:type="gramStart"/>
      <w:r>
        <w:rPr>
          <w:rFonts w:ascii="宋体" w:eastAsia="宋体" w:hAnsi="宋体" w:cs="宋体" w:hint="eastAsia"/>
          <w:color w:val="000000" w:themeColor="text1"/>
          <w:szCs w:val="21"/>
        </w:rPr>
        <w:t>占总枝量</w:t>
      </w:r>
      <w:proofErr w:type="gramEnd"/>
      <w:r>
        <w:rPr>
          <w:rFonts w:ascii="宋体" w:eastAsia="宋体" w:hAnsi="宋体" w:cs="宋体" w:hint="eastAsia"/>
          <w:color w:val="000000" w:themeColor="text1"/>
          <w:szCs w:val="21"/>
        </w:rPr>
        <w:t>的10%左右。</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7.5.2.2.4 盛果期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a)骨干枝和外围枝修剪：轻度（剪除1/3或1/4）回缩过弱的骨干枝，</w:t>
      </w:r>
      <w:proofErr w:type="gramStart"/>
      <w:r>
        <w:rPr>
          <w:rFonts w:ascii="宋体" w:eastAsia="宋体" w:hAnsi="宋体" w:cs="宋体" w:hint="eastAsia"/>
          <w:color w:val="000000" w:themeColor="text1"/>
          <w:szCs w:val="21"/>
        </w:rPr>
        <w:t>疏除过密</w:t>
      </w:r>
      <w:proofErr w:type="gramEnd"/>
      <w:r>
        <w:rPr>
          <w:rFonts w:ascii="宋体" w:eastAsia="宋体" w:hAnsi="宋体" w:cs="宋体" w:hint="eastAsia"/>
          <w:color w:val="000000" w:themeColor="text1"/>
          <w:szCs w:val="21"/>
        </w:rPr>
        <w:t>弱小外围枝，有营养空间的也可短截外围枝。</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 xml:space="preserve"> b)结果枝组培养：轻度（剪除1/3或1/4）回缩大、中型</w:t>
      </w:r>
      <w:proofErr w:type="gramStart"/>
      <w:r>
        <w:rPr>
          <w:rFonts w:ascii="宋体" w:eastAsia="宋体" w:hAnsi="宋体" w:cs="宋体" w:hint="eastAsia"/>
          <w:color w:val="000000" w:themeColor="text1"/>
          <w:szCs w:val="21"/>
        </w:rPr>
        <w:t>辅养枝</w:t>
      </w:r>
      <w:proofErr w:type="gramEnd"/>
      <w:r>
        <w:rPr>
          <w:rFonts w:ascii="宋体" w:eastAsia="宋体" w:hAnsi="宋体" w:cs="宋体" w:hint="eastAsia"/>
          <w:color w:val="000000" w:themeColor="text1"/>
          <w:szCs w:val="21"/>
        </w:rPr>
        <w:t>，去直</w:t>
      </w:r>
      <w:proofErr w:type="gramStart"/>
      <w:r>
        <w:rPr>
          <w:rFonts w:ascii="宋体" w:eastAsia="宋体" w:hAnsi="宋体" w:cs="宋体" w:hint="eastAsia"/>
          <w:color w:val="000000" w:themeColor="text1"/>
          <w:szCs w:val="21"/>
        </w:rPr>
        <w:t>留平斜</w:t>
      </w:r>
      <w:proofErr w:type="gramEnd"/>
      <w:r>
        <w:rPr>
          <w:rFonts w:ascii="宋体" w:eastAsia="宋体" w:hAnsi="宋体" w:cs="宋体" w:hint="eastAsia"/>
          <w:color w:val="000000" w:themeColor="text1"/>
          <w:szCs w:val="21"/>
        </w:rPr>
        <w:t>发育枝，拉平及摘心徒长枝，培养大、中、小型结果枝组，</w:t>
      </w:r>
      <w:proofErr w:type="gramStart"/>
      <w:r>
        <w:rPr>
          <w:rFonts w:ascii="宋体" w:eastAsia="宋体" w:hAnsi="宋体" w:cs="宋体" w:hint="eastAsia"/>
          <w:color w:val="000000" w:themeColor="text1"/>
          <w:szCs w:val="21"/>
        </w:rPr>
        <w:t>枝组间</w:t>
      </w:r>
      <w:proofErr w:type="gramEnd"/>
      <w:r>
        <w:rPr>
          <w:rFonts w:ascii="宋体" w:eastAsia="宋体" w:hAnsi="宋体" w:cs="宋体" w:hint="eastAsia"/>
          <w:color w:val="000000" w:themeColor="text1"/>
          <w:szCs w:val="21"/>
        </w:rPr>
        <w:t>距离保持80 cm左右，并均匀分布在各级主、侧枝上，使结果枝与营养枝的比例为3：1。</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c）结果枝组更新：轻度（剪除1/3或1/4）回缩过旺大型枝组，中度（剪除1/2）回缩过弱大型和中型枝组，</w:t>
      </w:r>
      <w:proofErr w:type="gramStart"/>
      <w:r>
        <w:rPr>
          <w:rFonts w:ascii="宋体" w:eastAsia="宋体" w:hAnsi="宋体" w:cs="宋体" w:hint="eastAsia"/>
          <w:color w:val="000000" w:themeColor="text1"/>
          <w:szCs w:val="21"/>
        </w:rPr>
        <w:t>疏除弱小</w:t>
      </w:r>
      <w:proofErr w:type="gramEnd"/>
      <w:r>
        <w:rPr>
          <w:rFonts w:ascii="宋体" w:eastAsia="宋体" w:hAnsi="宋体" w:cs="宋体" w:hint="eastAsia"/>
          <w:color w:val="000000" w:themeColor="text1"/>
          <w:szCs w:val="21"/>
        </w:rPr>
        <w:t>枝组，保持中庸树势。</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7.5.2.2.5 衰老期 </w:t>
      </w:r>
    </w:p>
    <w:p w:rsidR="00A646F9" w:rsidRDefault="00781025">
      <w:pPr>
        <w:spacing w:beforeLines="50" w:before="156" w:afterLines="50" w:after="156" w:line="400" w:lineRule="atLeast"/>
        <w:ind w:firstLineChars="200" w:firstLine="420"/>
        <w:contextualSpacing/>
        <w:rPr>
          <w:rFonts w:ascii="黑体" w:eastAsia="黑体" w:hAnsi="黑体" w:cs="黑体"/>
          <w:color w:val="000000" w:themeColor="text1"/>
          <w:szCs w:val="21"/>
        </w:rPr>
      </w:pPr>
      <w:r>
        <w:rPr>
          <w:rFonts w:ascii="宋体" w:eastAsia="宋体" w:hAnsi="宋体" w:cs="宋体" w:hint="eastAsia"/>
          <w:color w:val="000000" w:themeColor="text1"/>
          <w:szCs w:val="21"/>
        </w:rPr>
        <w:t>a）主枝更新：选择健壮主枝，保留60 cm～100 cm，</w:t>
      </w:r>
      <w:proofErr w:type="gramStart"/>
      <w:r>
        <w:rPr>
          <w:rFonts w:ascii="宋体" w:eastAsia="宋体" w:hAnsi="宋体" w:cs="宋体" w:hint="eastAsia"/>
          <w:color w:val="000000" w:themeColor="text1"/>
          <w:szCs w:val="21"/>
        </w:rPr>
        <w:t>锯除其余</w:t>
      </w:r>
      <w:proofErr w:type="gramEnd"/>
      <w:r>
        <w:rPr>
          <w:rFonts w:ascii="宋体" w:eastAsia="宋体" w:hAnsi="宋体" w:cs="宋体" w:hint="eastAsia"/>
          <w:color w:val="000000" w:themeColor="text1"/>
          <w:szCs w:val="21"/>
        </w:rPr>
        <w:t>部分，促其萌发新枝，每个主枝不同部位选留2个～3个健壮枝条，培养成一级侧枝。</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 xml:space="preserve"> b）侧枝更新：选择2个～3个侧枝，在每个有强旺分枝前部3 cm～5 cm处剪截，重回缩明显衰弱侧枝和大型结果枝组，疏除病虫枝、干枯枝和下垂枝。</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c）更新枝处理：加强更新树田间土肥水管理，尽快恢复树势。</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其他树形参照上述方法进行修剪。</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8 采收与包装</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8.1 采收及采后处理</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 xml:space="preserve">8.1.1 采收适期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壳厚</w:t>
      </w:r>
      <w:r>
        <w:rPr>
          <w:rFonts w:ascii="Arial" w:eastAsia="宋体" w:hAnsi="Arial" w:cs="Arial" w:hint="eastAsia"/>
          <w:color w:val="000000" w:themeColor="text1"/>
          <w:szCs w:val="21"/>
        </w:rPr>
        <w:t>≤</w:t>
      </w:r>
      <w:r>
        <w:rPr>
          <w:rFonts w:ascii="Times New Roman" w:eastAsia="宋体" w:hAnsi="Times New Roman" w:cs="Times New Roman"/>
          <w:color w:val="000000" w:themeColor="text1"/>
          <w:szCs w:val="21"/>
        </w:rPr>
        <w:t>1.1</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mm</w:t>
      </w:r>
      <w:r>
        <w:rPr>
          <w:rFonts w:ascii="宋体" w:eastAsia="宋体" w:hAnsi="宋体" w:cs="宋体" w:hint="eastAsia"/>
          <w:color w:val="000000" w:themeColor="text1"/>
          <w:szCs w:val="21"/>
        </w:rPr>
        <w:t>的应在果实青皮由绿色逐渐变为黄绿色、一半以上果实顶部青皮离壳时采收；壳厚</w:t>
      </w:r>
      <w:r>
        <w:rPr>
          <w:rFonts w:ascii="Times New Roman" w:eastAsia="宋体" w:hAnsi="Times New Roman" w:cs="Times New Roman"/>
          <w:color w:val="000000" w:themeColor="text1"/>
          <w:szCs w:val="21"/>
        </w:rPr>
        <w:t>&gt;</w:t>
      </w:r>
      <w:r>
        <w:rPr>
          <w:rFonts w:ascii="Times New Roman" w:eastAsia="宋体" w:hAnsi="Times New Roman" w:cs="Times New Roman" w:hint="eastAsia"/>
          <w:color w:val="000000" w:themeColor="text1"/>
          <w:szCs w:val="21"/>
        </w:rPr>
        <w:t>1.1 mm</w:t>
      </w:r>
      <w:r>
        <w:rPr>
          <w:rFonts w:ascii="宋体" w:eastAsia="宋体" w:hAnsi="宋体" w:cs="宋体" w:hint="eastAsia"/>
          <w:color w:val="000000" w:themeColor="text1"/>
          <w:szCs w:val="21"/>
        </w:rPr>
        <w:t>的应在全树1/4果实青皮开裂时</w:t>
      </w:r>
      <w:bookmarkStart w:id="16" w:name="_Hlk119738207"/>
      <w:r>
        <w:rPr>
          <w:rFonts w:ascii="宋体" w:eastAsia="宋体" w:hAnsi="宋体" w:cs="宋体" w:hint="eastAsia"/>
          <w:color w:val="000000" w:themeColor="text1"/>
          <w:szCs w:val="21"/>
        </w:rPr>
        <w:t>采收</w:t>
      </w:r>
      <w:bookmarkEnd w:id="16"/>
      <w:r>
        <w:rPr>
          <w:rFonts w:ascii="宋体" w:eastAsia="宋体" w:hAnsi="宋体" w:cs="宋体" w:hint="eastAsia"/>
          <w:color w:val="000000" w:themeColor="text1"/>
          <w:szCs w:val="21"/>
        </w:rPr>
        <w:t>。</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 xml:space="preserve">8.1.2 采收方法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应分品种采收，小树可直接采摘，大树用长竹竿或长木杆敲</w:t>
      </w:r>
      <w:bookmarkStart w:id="17" w:name="_Hlk119738653"/>
      <w:r>
        <w:rPr>
          <w:rFonts w:ascii="宋体" w:eastAsia="宋体" w:hAnsi="宋体" w:cs="宋体" w:hint="eastAsia"/>
          <w:color w:val="000000" w:themeColor="text1"/>
          <w:szCs w:val="21"/>
        </w:rPr>
        <w:t>击</w:t>
      </w:r>
      <w:bookmarkEnd w:id="17"/>
      <w:r>
        <w:rPr>
          <w:rFonts w:ascii="宋体" w:eastAsia="宋体" w:hAnsi="宋体" w:cs="宋体" w:hint="eastAsia"/>
          <w:color w:val="000000" w:themeColor="text1"/>
          <w:szCs w:val="21"/>
        </w:rPr>
        <w:t>着生果实的枝条或直接击落果实。敲打时应从上至下，从内向外，顺枝进行，避免损伤枝芽。</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8.1.3 采后处理</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8.1.3.1 脱青皮     </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果实采收后，在0.3%～0.5%乙烯利溶液中浸泡约30 s，装入网袋，整齐堆放在阴凉通风处，厚度100 cm～130 cm，防雨淋，堆放2 d～3 d；或自然堆放5 d～7 d后，青皮离壳时，可采用手工脱</w:t>
      </w:r>
      <w:bookmarkStart w:id="18" w:name="_Hlk119739326"/>
      <w:r>
        <w:rPr>
          <w:rFonts w:ascii="宋体" w:eastAsia="宋体" w:hAnsi="宋体" w:cs="宋体" w:hint="eastAsia"/>
          <w:color w:val="000000" w:themeColor="text1"/>
          <w:szCs w:val="21"/>
        </w:rPr>
        <w:t>青</w:t>
      </w:r>
      <w:bookmarkEnd w:id="18"/>
      <w:r>
        <w:rPr>
          <w:rFonts w:ascii="宋体" w:eastAsia="宋体" w:hAnsi="宋体" w:cs="宋体" w:hint="eastAsia"/>
          <w:color w:val="000000" w:themeColor="text1"/>
          <w:szCs w:val="21"/>
        </w:rPr>
        <w:t>皮或转筛式、滚筒式脱皮机脱青皮。</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 xml:space="preserve">8.1.3.2 清洗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8.1.3.2.1 人工清洗</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将脱皮后的坚果装筐，把筐放入水池或流水中，用竹扫帚搅洗，对个别果</w:t>
      </w:r>
      <w:proofErr w:type="gramStart"/>
      <w:r>
        <w:rPr>
          <w:rFonts w:ascii="宋体" w:eastAsia="宋体" w:hAnsi="宋体" w:cs="宋体" w:hint="eastAsia"/>
          <w:color w:val="000000" w:themeColor="text1"/>
          <w:szCs w:val="21"/>
        </w:rPr>
        <w:t>面污染</w:t>
      </w:r>
      <w:proofErr w:type="gramEnd"/>
      <w:r>
        <w:rPr>
          <w:rFonts w:ascii="宋体" w:eastAsia="宋体" w:hAnsi="宋体" w:cs="宋体" w:hint="eastAsia"/>
          <w:color w:val="000000" w:themeColor="text1"/>
          <w:szCs w:val="21"/>
        </w:rPr>
        <w:t xml:space="preserve">严重的，可用刷子逐个刷洗，直至果壳干净。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8.1.3.2.2 机械清洗</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 xml:space="preserve">将刚脱皮的坚果倒入清洗槽内，使用机械清洗机清洗，开机清洗10 min～15 min，用水冲淋2次～3次。 </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8.1.4  干燥</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8.1.4.1 晾晒</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 xml:space="preserve">先将清洗好的坚果摊放在芦席或竹席上阴干半天，不可直接放在阳光下暴晒，避免果壳开裂。晾晒时摊放厚度不宜超过两层果，要经常翻动，经过 </w:t>
      </w:r>
      <w:r>
        <w:rPr>
          <w:rFonts w:ascii="宋体" w:eastAsia="宋体" w:hAnsi="宋体" w:cs="宋体"/>
          <w:color w:val="000000" w:themeColor="text1"/>
          <w:szCs w:val="21"/>
        </w:rPr>
        <w:t>5</w:t>
      </w:r>
      <w:r>
        <w:rPr>
          <w:rFonts w:ascii="宋体" w:eastAsia="宋体" w:hAnsi="宋体" w:cs="宋体" w:hint="eastAsia"/>
          <w:color w:val="000000" w:themeColor="text1"/>
          <w:szCs w:val="21"/>
        </w:rPr>
        <w:t xml:space="preserve"> d～7 d即可晾干。</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8.1.4.2 机械</w:t>
      </w:r>
      <w:bookmarkStart w:id="19" w:name="_Hlk119751747"/>
      <w:r>
        <w:rPr>
          <w:rFonts w:ascii="黑体" w:eastAsia="黑体" w:hAnsi="黑体" w:cs="黑体" w:hint="eastAsia"/>
          <w:color w:val="000000" w:themeColor="text1"/>
          <w:szCs w:val="21"/>
        </w:rPr>
        <w:t>干燥</w:t>
      </w:r>
      <w:bookmarkEnd w:id="19"/>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批量核桃干燥时，将脱皮清洗好的核桃坚果双层平铺烘烤托盘中，置于方钢焊接的架子上，采取热风</w:t>
      </w:r>
      <w:bookmarkStart w:id="20" w:name="_Hlk119743633"/>
      <w:r>
        <w:rPr>
          <w:rFonts w:ascii="宋体" w:eastAsia="宋体" w:hAnsi="宋体" w:cs="宋体" w:hint="eastAsia"/>
          <w:color w:val="000000" w:themeColor="text1"/>
          <w:szCs w:val="21"/>
        </w:rPr>
        <w:t>干燥</w:t>
      </w:r>
      <w:bookmarkEnd w:id="20"/>
      <w:r>
        <w:rPr>
          <w:rFonts w:ascii="宋体" w:eastAsia="宋体" w:hAnsi="宋体" w:cs="宋体" w:hint="eastAsia"/>
          <w:color w:val="000000" w:themeColor="text1"/>
          <w:szCs w:val="21"/>
        </w:rPr>
        <w:t>等智能烘干设备进行烘干。烘干时最高温度不宜高于</w:t>
      </w:r>
      <w:r>
        <w:rPr>
          <w:rFonts w:ascii="宋体" w:eastAsia="宋体" w:hAnsi="宋体" w:cs="宋体"/>
          <w:color w:val="000000" w:themeColor="text1"/>
          <w:szCs w:val="21"/>
        </w:rPr>
        <w:t>43 ℃。</w:t>
      </w:r>
    </w:p>
    <w:p w:rsidR="00A646F9" w:rsidRDefault="00781025">
      <w:pPr>
        <w:spacing w:beforeLines="50" w:before="156" w:afterLines="50" w:after="156" w:line="400" w:lineRule="atLeast"/>
        <w:contextualSpacing/>
        <w:rPr>
          <w:rFonts w:ascii="宋体" w:eastAsia="宋体" w:hAnsi="宋体" w:cs="宋体"/>
          <w:color w:val="000000" w:themeColor="text1"/>
          <w:szCs w:val="21"/>
        </w:rPr>
      </w:pPr>
      <w:r>
        <w:rPr>
          <w:rFonts w:ascii="黑体" w:eastAsia="黑体" w:hAnsi="黑体" w:cs="黑体" w:hint="eastAsia"/>
          <w:color w:val="000000" w:themeColor="text1"/>
          <w:szCs w:val="21"/>
        </w:rPr>
        <w:t xml:space="preserve">8.1.4.3 坚果干燥标准 </w:t>
      </w:r>
    </w:p>
    <w:p w:rsidR="00A646F9" w:rsidRDefault="00781025">
      <w:pPr>
        <w:spacing w:beforeLines="50" w:before="156" w:afterLines="50" w:after="156" w:line="400" w:lineRule="atLeast"/>
        <w:ind w:firstLineChars="200" w:firstLine="420"/>
        <w:contextualSpacing/>
        <w:rPr>
          <w:color w:val="000000" w:themeColor="text1"/>
        </w:rPr>
      </w:pPr>
      <w:r>
        <w:rPr>
          <w:rFonts w:ascii="宋体" w:eastAsia="宋体" w:hAnsi="宋体" w:cs="宋体" w:hint="eastAsia"/>
          <w:color w:val="000000" w:themeColor="text1"/>
          <w:szCs w:val="21"/>
        </w:rPr>
        <w:t>坚果</w:t>
      </w:r>
      <w:proofErr w:type="gramStart"/>
      <w:r>
        <w:rPr>
          <w:rFonts w:ascii="宋体" w:eastAsia="宋体" w:hAnsi="宋体" w:cs="宋体" w:hint="eastAsia"/>
          <w:color w:val="000000" w:themeColor="text1"/>
          <w:szCs w:val="21"/>
        </w:rPr>
        <w:t>碰敲声音</w:t>
      </w:r>
      <w:proofErr w:type="gramEnd"/>
      <w:r>
        <w:rPr>
          <w:rFonts w:ascii="宋体" w:eastAsia="宋体" w:hAnsi="宋体" w:cs="宋体" w:hint="eastAsia"/>
          <w:color w:val="000000" w:themeColor="text1"/>
          <w:szCs w:val="21"/>
        </w:rPr>
        <w:t>脆响，</w:t>
      </w:r>
      <w:proofErr w:type="gramStart"/>
      <w:r>
        <w:rPr>
          <w:rFonts w:ascii="宋体" w:eastAsia="宋体" w:hAnsi="宋体" w:cs="宋体" w:hint="eastAsia"/>
          <w:color w:val="000000" w:themeColor="text1"/>
          <w:szCs w:val="21"/>
        </w:rPr>
        <w:t>横隔膜</w:t>
      </w:r>
      <w:proofErr w:type="gramEnd"/>
      <w:r>
        <w:rPr>
          <w:rFonts w:ascii="宋体" w:eastAsia="宋体" w:hAnsi="宋体" w:cs="宋体" w:hint="eastAsia"/>
          <w:color w:val="000000" w:themeColor="text1"/>
          <w:szCs w:val="21"/>
        </w:rPr>
        <w:t>易于用手折断，坚果含水量</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7%</w:t>
      </w:r>
      <w:r>
        <w:rPr>
          <w:rFonts w:ascii="宋体" w:eastAsia="宋体" w:hAnsi="宋体" w:cs="宋体" w:hint="eastAsia"/>
          <w:color w:val="000000" w:themeColor="text1"/>
          <w:szCs w:val="21"/>
        </w:rPr>
        <w:t>。</w:t>
      </w:r>
    </w:p>
    <w:p w:rsidR="00A646F9" w:rsidRDefault="00781025">
      <w:pPr>
        <w:spacing w:beforeLines="50" w:before="156" w:afterLines="50" w:after="156"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8.1.</w:t>
      </w:r>
      <w:r>
        <w:rPr>
          <w:rFonts w:ascii="黑体" w:eastAsia="黑体" w:hAnsi="黑体" w:cs="黑体"/>
          <w:color w:val="000000" w:themeColor="text1"/>
          <w:szCs w:val="21"/>
        </w:rPr>
        <w:t>5</w:t>
      </w:r>
      <w:r>
        <w:rPr>
          <w:rFonts w:ascii="黑体" w:eastAsia="黑体" w:hAnsi="黑体" w:cs="黑体" w:hint="eastAsia"/>
          <w:color w:val="000000" w:themeColor="text1"/>
          <w:szCs w:val="21"/>
        </w:rPr>
        <w:t xml:space="preserve"> 分级</w:t>
      </w:r>
    </w:p>
    <w:p w:rsidR="00A646F9" w:rsidRDefault="00781025">
      <w:pPr>
        <w:spacing w:beforeLines="50" w:before="156" w:afterLines="50" w:after="156"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核桃坚果和核桃仁的质量及</w:t>
      </w:r>
      <w:proofErr w:type="gramStart"/>
      <w:r>
        <w:rPr>
          <w:rFonts w:ascii="宋体" w:eastAsia="宋体" w:hAnsi="宋体" w:cs="宋体" w:hint="eastAsia"/>
          <w:color w:val="000000" w:themeColor="text1"/>
          <w:szCs w:val="21"/>
        </w:rPr>
        <w:t>分级应</w:t>
      </w:r>
      <w:proofErr w:type="gramEnd"/>
      <w:r>
        <w:rPr>
          <w:rFonts w:ascii="宋体" w:eastAsia="宋体" w:hAnsi="宋体" w:cs="宋体" w:hint="eastAsia"/>
          <w:color w:val="000000" w:themeColor="text1"/>
          <w:szCs w:val="21"/>
        </w:rPr>
        <w:t>符合GB/T 20398的规定。</w:t>
      </w:r>
    </w:p>
    <w:p w:rsidR="00A646F9" w:rsidRDefault="00781025">
      <w:pPr>
        <w:spacing w:line="400" w:lineRule="exact"/>
        <w:rPr>
          <w:rFonts w:ascii="黑体" w:eastAsia="黑体" w:hAnsi="黑体" w:cs="Times New Roman"/>
          <w:color w:val="000000" w:themeColor="text1"/>
          <w:kern w:val="0"/>
          <w:szCs w:val="21"/>
        </w:rPr>
      </w:pPr>
      <w:r>
        <w:rPr>
          <w:rFonts w:ascii="黑体" w:eastAsia="黑体" w:hAnsi="黑体" w:cs="Times New Roman" w:hint="eastAsia"/>
          <w:color w:val="000000" w:themeColor="text1"/>
          <w:kern w:val="0"/>
          <w:szCs w:val="21"/>
        </w:rPr>
        <w:t>8</w:t>
      </w:r>
      <w:r>
        <w:rPr>
          <w:rFonts w:ascii="黑体" w:eastAsia="黑体" w:hAnsi="黑体" w:cs="Times New Roman"/>
          <w:color w:val="000000" w:themeColor="text1"/>
          <w:kern w:val="0"/>
          <w:szCs w:val="21"/>
        </w:rPr>
        <w:t>.</w:t>
      </w:r>
      <w:r>
        <w:rPr>
          <w:rFonts w:ascii="黑体" w:eastAsia="黑体" w:hAnsi="黑体" w:cs="Times New Roman" w:hint="eastAsia"/>
          <w:color w:val="000000" w:themeColor="text1"/>
          <w:kern w:val="0"/>
          <w:szCs w:val="21"/>
        </w:rPr>
        <w:t>2</w:t>
      </w:r>
      <w:r>
        <w:rPr>
          <w:rFonts w:ascii="黑体" w:eastAsia="黑体" w:hAnsi="黑体" w:cs="Times New Roman"/>
          <w:color w:val="000000" w:themeColor="text1"/>
          <w:kern w:val="0"/>
          <w:szCs w:val="21"/>
        </w:rPr>
        <w:t xml:space="preserve"> 包装</w:t>
      </w:r>
      <w:r>
        <w:rPr>
          <w:rFonts w:ascii="黑体" w:eastAsia="黑体" w:hAnsi="黑体" w:cs="Times New Roman" w:hint="eastAsia"/>
          <w:color w:val="000000" w:themeColor="text1"/>
          <w:kern w:val="0"/>
          <w:szCs w:val="21"/>
        </w:rPr>
        <w:t>标识标签</w:t>
      </w:r>
    </w:p>
    <w:p w:rsidR="00A646F9" w:rsidRDefault="00781025">
      <w:pPr>
        <w:spacing w:line="400" w:lineRule="atLeast"/>
        <w:ind w:firstLine="420"/>
        <w:contextualSpacing/>
        <w:rPr>
          <w:rFonts w:ascii="黑体" w:eastAsia="黑体" w:hAnsi="黑体" w:cs="Times New Roman"/>
          <w:color w:val="000000" w:themeColor="text1"/>
          <w:kern w:val="0"/>
          <w:szCs w:val="21"/>
        </w:rPr>
      </w:pPr>
      <w:r>
        <w:rPr>
          <w:rFonts w:ascii="Times New Roman" w:eastAsia="宋体" w:hAnsi="Times New Roman" w:cs="Times New Roman"/>
          <w:color w:val="000000" w:themeColor="text1"/>
          <w:szCs w:val="21"/>
        </w:rPr>
        <w:t>包装</w:t>
      </w:r>
      <w:r>
        <w:rPr>
          <w:rFonts w:ascii="Times New Roman" w:eastAsia="宋体" w:hAnsi="Times New Roman" w:cs="Times New Roman" w:hint="eastAsia"/>
          <w:color w:val="000000" w:themeColor="text1"/>
          <w:szCs w:val="21"/>
        </w:rPr>
        <w:t>标识标签应</w:t>
      </w:r>
      <w:r>
        <w:rPr>
          <w:rFonts w:ascii="Times New Roman" w:eastAsia="宋体" w:hAnsi="Times New Roman" w:cs="Times New Roman"/>
          <w:color w:val="000000" w:themeColor="text1"/>
          <w:szCs w:val="21"/>
        </w:rPr>
        <w:t>符合</w:t>
      </w:r>
      <w:r>
        <w:rPr>
          <w:rFonts w:ascii="Times New Roman" w:eastAsia="宋体" w:hAnsi="Times New Roman" w:cs="Times New Roman"/>
          <w:color w:val="000000" w:themeColor="text1"/>
          <w:szCs w:val="21"/>
        </w:rPr>
        <w:t>NY/T 658</w:t>
      </w:r>
      <w:r>
        <w:rPr>
          <w:rFonts w:ascii="Times New Roman" w:eastAsia="宋体" w:hAnsi="Times New Roman" w:cs="Times New Roman"/>
          <w:color w:val="000000" w:themeColor="text1"/>
          <w:szCs w:val="21"/>
        </w:rPr>
        <w:t>的规定。</w:t>
      </w:r>
      <w:r>
        <w:rPr>
          <w:rFonts w:ascii="黑体" w:eastAsia="黑体" w:hAnsi="黑体" w:cs="Times New Roman"/>
          <w:color w:val="000000" w:themeColor="text1"/>
          <w:kern w:val="0"/>
          <w:szCs w:val="21"/>
        </w:rPr>
        <w:t xml:space="preserve"> </w:t>
      </w:r>
    </w:p>
    <w:p w:rsidR="00A646F9" w:rsidRDefault="00781025">
      <w:pPr>
        <w:pStyle w:val="2"/>
        <w:spacing w:beforeLines="100" w:before="312" w:afterLines="100" w:after="312"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9 生产废弃物处理</w:t>
      </w:r>
    </w:p>
    <w:p w:rsidR="00A646F9" w:rsidRDefault="00781025">
      <w:pPr>
        <w:spacing w:line="400" w:lineRule="atLeas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残枝、落叶、青皮及污水统一收集并进行无害化处理；按照GH/T 1354的规定及时清除残膜；农药包装废弃物的回收处理按照《农药包装废弃物回收处理管理办法》的规定。</w:t>
      </w:r>
    </w:p>
    <w:p w:rsidR="00A646F9" w:rsidRDefault="00781025">
      <w:pPr>
        <w:pStyle w:val="2"/>
        <w:spacing w:beforeLines="100" w:before="312" w:afterLines="100" w:after="312"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10 储藏运输</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 xml:space="preserve">10.1 储藏 </w:t>
      </w:r>
    </w:p>
    <w:p w:rsidR="00A646F9" w:rsidRDefault="00781025">
      <w:pPr>
        <w:spacing w:line="400" w:lineRule="atLeast"/>
        <w:ind w:firstLineChars="200" w:firstLine="420"/>
        <w:contextualSpacing/>
        <w:rPr>
          <w:rFonts w:ascii="宋体" w:eastAsia="宋体" w:hAnsi="宋体" w:cs="宋体"/>
          <w:color w:val="000000" w:themeColor="text1"/>
          <w:szCs w:val="21"/>
          <w:highlight w:val="yellow"/>
        </w:rPr>
      </w:pPr>
      <w:r>
        <w:rPr>
          <w:rFonts w:ascii="宋体" w:eastAsia="宋体" w:hAnsi="宋体" w:cs="宋体" w:hint="eastAsia"/>
          <w:color w:val="000000" w:themeColor="text1"/>
          <w:szCs w:val="21"/>
        </w:rPr>
        <w:t>储藏于通风、干燥、阴凉、清洁的仓库内，不得与有毒、有异味、有腐蚀性、潮湿的物品混储，应堆放在垫板上，且离地应</w:t>
      </w:r>
      <w:r>
        <w:rPr>
          <w:rFonts w:ascii="宋体" w:eastAsia="宋体" w:hAnsi="宋体" w:cs="宋体"/>
          <w:color w:val="000000" w:themeColor="text1"/>
          <w:szCs w:val="21"/>
        </w:rPr>
        <w:t>≥</w:t>
      </w:r>
      <w:r>
        <w:rPr>
          <w:rFonts w:ascii="宋体" w:eastAsia="宋体" w:hAnsi="宋体" w:cs="宋体" w:hint="eastAsia"/>
          <w:color w:val="000000" w:themeColor="text1"/>
          <w:szCs w:val="21"/>
        </w:rPr>
        <w:t>10cm、离墙</w:t>
      </w:r>
      <w:r>
        <w:rPr>
          <w:rFonts w:ascii="宋体" w:eastAsia="宋体" w:hAnsi="宋体" w:cs="宋体"/>
          <w:color w:val="000000" w:themeColor="text1"/>
          <w:szCs w:val="21"/>
        </w:rPr>
        <w:t>≥</w:t>
      </w:r>
      <w:r>
        <w:rPr>
          <w:rFonts w:ascii="宋体" w:eastAsia="宋体" w:hAnsi="宋体" w:cs="宋体" w:hint="eastAsia"/>
          <w:color w:val="000000" w:themeColor="text1"/>
          <w:szCs w:val="21"/>
        </w:rPr>
        <w:t>20cm，中间留通道。当环境温度</w:t>
      </w:r>
      <w:r>
        <w:rPr>
          <w:rFonts w:ascii="宋体" w:eastAsia="宋体" w:hAnsi="宋体" w:cs="宋体"/>
          <w:color w:val="000000" w:themeColor="text1"/>
          <w:szCs w:val="21"/>
        </w:rPr>
        <w:t>≥</w:t>
      </w:r>
      <w:r>
        <w:rPr>
          <w:rFonts w:ascii="宋体" w:eastAsia="宋体" w:hAnsi="宋体" w:cs="宋体" w:hint="eastAsia"/>
          <w:color w:val="000000" w:themeColor="text1"/>
          <w:szCs w:val="21"/>
        </w:rPr>
        <w:t>15℃、储藏期</w:t>
      </w:r>
      <w:r>
        <w:rPr>
          <w:rFonts w:ascii="宋体" w:eastAsia="宋体" w:hAnsi="宋体" w:cs="宋体"/>
          <w:color w:val="000000" w:themeColor="text1"/>
          <w:szCs w:val="21"/>
        </w:rPr>
        <w:t>≥</w:t>
      </w:r>
      <w:r>
        <w:rPr>
          <w:rFonts w:ascii="宋体" w:eastAsia="宋体" w:hAnsi="宋体" w:cs="宋体" w:hint="eastAsia"/>
          <w:color w:val="000000" w:themeColor="text1"/>
          <w:szCs w:val="21"/>
        </w:rPr>
        <w:t>1个月时，宜在温度0 ℃～ 5 ℃、相对湿度</w:t>
      </w:r>
      <w:r>
        <w:rPr>
          <w:rFonts w:ascii="宋体" w:eastAsia="宋体" w:hAnsi="宋体" w:cs="宋体"/>
          <w:color w:val="000000" w:themeColor="text1"/>
          <w:szCs w:val="21"/>
        </w:rPr>
        <w:t>≤</w:t>
      </w:r>
      <w:r>
        <w:rPr>
          <w:rFonts w:ascii="宋体" w:eastAsia="宋体" w:hAnsi="宋体" w:cs="宋体" w:hint="eastAsia"/>
          <w:color w:val="000000" w:themeColor="text1"/>
          <w:szCs w:val="21"/>
        </w:rPr>
        <w:t>70%条件下冷藏。</w:t>
      </w:r>
    </w:p>
    <w:p w:rsidR="00A646F9" w:rsidRDefault="00781025">
      <w:pPr>
        <w:pStyle w:val="2"/>
        <w:spacing w:beforeLines="50" w:before="156" w:afterLines="50" w:after="156"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10.2 运输</w:t>
      </w:r>
    </w:p>
    <w:p w:rsidR="00A646F9" w:rsidRDefault="00781025">
      <w:pPr>
        <w:spacing w:line="400" w:lineRule="atLeast"/>
        <w:ind w:firstLineChars="200" w:firstLine="420"/>
        <w:contextualSpacing/>
        <w:rPr>
          <w:rFonts w:ascii="Times New Roman" w:eastAsia="宋体" w:hAnsi="Times New Roman" w:cs="Times New Roman"/>
          <w:color w:val="000000" w:themeColor="text1"/>
          <w:szCs w:val="21"/>
        </w:rPr>
      </w:pPr>
      <w:r>
        <w:rPr>
          <w:rFonts w:ascii="宋体" w:eastAsia="宋体" w:hAnsi="宋体" w:cs="宋体" w:hint="eastAsia"/>
          <w:color w:val="000000" w:themeColor="text1"/>
          <w:szCs w:val="21"/>
        </w:rPr>
        <w:t>运输工具应清洁、无污染物，不得与有毒、有害物品混运。运输过程中应防压、防潮、防雨淋等。储藏运输应</w:t>
      </w:r>
      <w:r>
        <w:rPr>
          <w:rFonts w:ascii="Times New Roman" w:eastAsia="宋体" w:hAnsi="Times New Roman" w:cs="Times New Roman"/>
          <w:color w:val="000000" w:themeColor="text1"/>
          <w:szCs w:val="21"/>
        </w:rPr>
        <w:t>符合</w:t>
      </w:r>
      <w:r>
        <w:rPr>
          <w:rFonts w:ascii="Times New Roman" w:eastAsia="宋体" w:hAnsi="Times New Roman" w:cs="Times New Roman"/>
          <w:color w:val="000000" w:themeColor="text1"/>
          <w:szCs w:val="21"/>
        </w:rPr>
        <w:t>NY/T 1056</w:t>
      </w:r>
      <w:r>
        <w:rPr>
          <w:rFonts w:ascii="Times New Roman" w:eastAsia="宋体" w:hAnsi="Times New Roman" w:cs="Times New Roman"/>
          <w:color w:val="000000" w:themeColor="text1"/>
          <w:szCs w:val="21"/>
        </w:rPr>
        <w:t>的规定。</w:t>
      </w:r>
    </w:p>
    <w:p w:rsidR="00A646F9" w:rsidRDefault="00781025">
      <w:pPr>
        <w:pStyle w:val="2"/>
        <w:spacing w:beforeLines="100" w:before="312" w:afterLines="100" w:after="312" w:line="400" w:lineRule="exact"/>
        <w:rPr>
          <w:rFonts w:ascii="黑体" w:hAnsi="黑体" w:cs="黑体"/>
          <w:b w:val="0"/>
          <w:bCs/>
          <w:color w:val="000000" w:themeColor="text1"/>
          <w:sz w:val="21"/>
          <w:szCs w:val="21"/>
        </w:rPr>
      </w:pPr>
      <w:r>
        <w:rPr>
          <w:rFonts w:ascii="黑体" w:hAnsi="黑体" w:cs="黑体" w:hint="eastAsia"/>
          <w:b w:val="0"/>
          <w:bCs/>
          <w:color w:val="000000" w:themeColor="text1"/>
          <w:sz w:val="21"/>
          <w:szCs w:val="21"/>
        </w:rPr>
        <w:t>11 生产档案管理</w:t>
      </w:r>
    </w:p>
    <w:p w:rsidR="00A646F9" w:rsidRDefault="00781025">
      <w:pPr>
        <w:spacing w:line="400" w:lineRule="atLeast"/>
        <w:ind w:firstLineChars="200" w:firstLine="420"/>
        <w:contextualSpacing/>
        <w:rPr>
          <w:rFonts w:ascii="Calibri" w:eastAsia="宋体" w:hAnsi="Calibri" w:cs="Times New Roman"/>
          <w:color w:val="000000" w:themeColor="text1"/>
        </w:rPr>
      </w:pPr>
      <w:r>
        <w:rPr>
          <w:rFonts w:ascii="Calibri" w:eastAsia="宋体" w:hAnsi="Calibri" w:cs="Times New Roman"/>
          <w:color w:val="000000" w:themeColor="text1"/>
        </w:rPr>
        <w:t>建立绿色食品</w:t>
      </w:r>
      <w:r>
        <w:rPr>
          <w:rFonts w:ascii="Calibri" w:eastAsia="宋体" w:hAnsi="Calibri" w:cs="Times New Roman" w:hint="eastAsia"/>
          <w:color w:val="000000" w:themeColor="text1"/>
        </w:rPr>
        <w:t>核桃</w:t>
      </w:r>
      <w:r>
        <w:rPr>
          <w:rFonts w:ascii="Calibri" w:eastAsia="宋体" w:hAnsi="Calibri" w:cs="Times New Roman"/>
          <w:color w:val="000000" w:themeColor="text1"/>
        </w:rPr>
        <w:t>生产档案</w:t>
      </w:r>
      <w:r>
        <w:rPr>
          <w:rFonts w:ascii="Calibri" w:eastAsia="宋体" w:hAnsi="Calibri" w:cs="Times New Roman" w:hint="eastAsia"/>
          <w:color w:val="000000" w:themeColor="text1"/>
        </w:rPr>
        <w:t>，应详细记录</w:t>
      </w:r>
      <w:r>
        <w:rPr>
          <w:rFonts w:ascii="Calibri" w:eastAsia="宋体" w:hAnsi="Calibri" w:cs="Times New Roman"/>
          <w:color w:val="000000" w:themeColor="text1"/>
        </w:rPr>
        <w:t>产地环境</w:t>
      </w:r>
      <w:r>
        <w:rPr>
          <w:rFonts w:ascii="Calibri" w:eastAsia="宋体" w:hAnsi="Calibri" w:cs="Times New Roman" w:hint="eastAsia"/>
          <w:color w:val="000000" w:themeColor="text1"/>
        </w:rPr>
        <w:t>质量</w:t>
      </w:r>
      <w:r>
        <w:rPr>
          <w:rFonts w:ascii="Calibri" w:eastAsia="宋体" w:hAnsi="Calibri" w:cs="Times New Roman"/>
          <w:color w:val="000000" w:themeColor="text1"/>
        </w:rPr>
        <w:t>、</w:t>
      </w:r>
      <w:r>
        <w:rPr>
          <w:rFonts w:ascii="Calibri" w:eastAsia="宋体" w:hAnsi="Calibri" w:cs="Times New Roman" w:hint="eastAsia"/>
          <w:color w:val="000000" w:themeColor="text1"/>
        </w:rPr>
        <w:t>品种苗木、栽植与修剪</w:t>
      </w:r>
      <w:r>
        <w:rPr>
          <w:rFonts w:ascii="Calibri" w:eastAsia="宋体" w:hAnsi="Calibri" w:cs="Times New Roman"/>
          <w:color w:val="000000" w:themeColor="text1"/>
        </w:rPr>
        <w:t>技术、</w:t>
      </w:r>
      <w:r>
        <w:rPr>
          <w:rFonts w:ascii="Calibri" w:eastAsia="宋体" w:hAnsi="Calibri" w:cs="Times New Roman" w:hint="eastAsia"/>
          <w:color w:val="000000" w:themeColor="text1"/>
        </w:rPr>
        <w:t>土</w:t>
      </w:r>
      <w:r>
        <w:rPr>
          <w:rFonts w:ascii="Calibri" w:eastAsia="宋体" w:hAnsi="Calibri" w:cs="Times New Roman"/>
          <w:color w:val="000000" w:themeColor="text1"/>
        </w:rPr>
        <w:t>肥水管理、病虫害的发生和防治、采收</w:t>
      </w:r>
      <w:r>
        <w:rPr>
          <w:rFonts w:ascii="Calibri" w:eastAsia="宋体" w:hAnsi="Calibri" w:cs="Times New Roman" w:hint="eastAsia"/>
          <w:color w:val="000000" w:themeColor="text1"/>
        </w:rPr>
        <w:t>及</w:t>
      </w:r>
      <w:r>
        <w:rPr>
          <w:rFonts w:ascii="Calibri" w:eastAsia="宋体" w:hAnsi="Calibri" w:cs="Times New Roman"/>
          <w:color w:val="000000" w:themeColor="text1"/>
        </w:rPr>
        <w:t>采后处理</w:t>
      </w:r>
      <w:r>
        <w:rPr>
          <w:rFonts w:ascii="Calibri" w:eastAsia="宋体" w:hAnsi="Calibri" w:cs="Times New Roman" w:hint="eastAsia"/>
          <w:color w:val="000000" w:themeColor="text1"/>
        </w:rPr>
        <w:t>、储藏运输等</w:t>
      </w:r>
      <w:r>
        <w:rPr>
          <w:rFonts w:ascii="Times New Roman" w:eastAsia="宋体" w:hAnsi="Times New Roman" w:cs="Times New Roman"/>
          <w:color w:val="000000" w:themeColor="text1"/>
          <w:szCs w:val="21"/>
        </w:rPr>
        <w:t>，记录至少保存</w:t>
      </w:r>
      <w:r>
        <w:rPr>
          <w:rFonts w:ascii="Times New Roman" w:eastAsia="宋体" w:hAnsi="Times New Roman" w:cs="Times New Roman"/>
          <w:color w:val="000000" w:themeColor="text1"/>
          <w:szCs w:val="21"/>
        </w:rPr>
        <w:t>3</w:t>
      </w:r>
      <w:r>
        <w:rPr>
          <w:rFonts w:ascii="Times New Roman" w:eastAsia="宋体" w:hAnsi="Times New Roman" w:cs="Times New Roman"/>
          <w:color w:val="000000" w:themeColor="text1"/>
          <w:szCs w:val="21"/>
        </w:rPr>
        <w:t>年以上。</w:t>
      </w:r>
    </w:p>
    <w:p w:rsidR="00A646F9" w:rsidRDefault="00A646F9">
      <w:pPr>
        <w:spacing w:line="400" w:lineRule="atLeast"/>
        <w:ind w:firstLineChars="200" w:firstLine="420"/>
        <w:contextualSpacing/>
        <w:rPr>
          <w:rFonts w:ascii="Calibri" w:eastAsia="宋体" w:hAnsi="Calibri" w:cs="Times New Roman"/>
          <w:color w:val="000000" w:themeColor="text1"/>
        </w:rPr>
      </w:pPr>
    </w:p>
    <w:p w:rsidR="00A646F9" w:rsidRDefault="00A646F9">
      <w:pPr>
        <w:spacing w:line="400" w:lineRule="atLeast"/>
        <w:ind w:firstLineChars="200" w:firstLine="420"/>
        <w:contextualSpacing/>
        <w:rPr>
          <w:rFonts w:ascii="Calibri" w:eastAsia="宋体" w:hAnsi="Calibri" w:cs="Times New Roman"/>
          <w:color w:val="000000" w:themeColor="text1"/>
        </w:rPr>
      </w:pPr>
    </w:p>
    <w:p w:rsidR="00A646F9" w:rsidRDefault="00781025">
      <w:pPr>
        <w:autoSpaceDE w:val="0"/>
        <w:jc w:val="left"/>
        <w:rPr>
          <w:color w:val="000000" w:themeColor="text1"/>
          <w:szCs w:val="21"/>
        </w:rPr>
      </w:pPr>
      <w:r>
        <w:rPr>
          <w:noProof/>
          <w:color w:val="000000" w:themeColor="text1"/>
        </w:rPr>
        <mc:AlternateContent>
          <mc:Choice Requires="wps">
            <w:drawing>
              <wp:anchor distT="0" distB="0" distL="114300" distR="114300" simplePos="0" relativeHeight="251661312" behindDoc="0" locked="0" layoutInCell="1" allowOverlap="1">
                <wp:simplePos x="0" y="0"/>
                <wp:positionH relativeFrom="column">
                  <wp:posOffset>1712595</wp:posOffset>
                </wp:positionH>
                <wp:positionV relativeFrom="paragraph">
                  <wp:posOffset>475615</wp:posOffset>
                </wp:positionV>
                <wp:extent cx="1485265" cy="0"/>
                <wp:effectExtent l="0" t="0" r="0" b="0"/>
                <wp:wrapNone/>
                <wp:docPr id="19" name="直接连接符 19"/>
                <wp:cNvGraphicFramePr/>
                <a:graphic xmlns:a="http://schemas.openxmlformats.org/drawingml/2006/main">
                  <a:graphicData uri="http://schemas.microsoft.com/office/word/2010/wordprocessingShape">
                    <wps:wsp>
                      <wps:cNvCnPr/>
                      <wps:spPr>
                        <a:xfrm>
                          <a:off x="0" y="0"/>
                          <a:ext cx="1485265" cy="0"/>
                        </a:xfrm>
                        <a:prstGeom prst="line">
                          <a:avLst/>
                        </a:prstGeom>
                        <a:ln w="9360" cap="flat" cmpd="sng">
                          <a:solidFill>
                            <a:srgbClr val="000000"/>
                          </a:solidFill>
                          <a:prstDash val="solid"/>
                          <a:miter/>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134.85pt;margin-top:37.45pt;height:0pt;width:116.95pt;z-index:251661312;mso-width-relative:page;mso-height-relative:page;" filled="f" stroked="t" coordsize="21600,21600" o:gfxdata="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4wfYo2QAAAAkBAAAPAAAAAAAAAAEAIAAAACIAAABkcnMvZG93bnJldi54bWxQSwEC&#10;FAAUAAAACACHTuJAoe+PwfMBAADkAwAADgAAAAAAAAABACAAAAAoAQAAZHJzL2Uyb0RvYy54bWxQ&#10;SwUGAAAAAAYABgBZAQAAjQUAAAAA&#10;">
                <v:fill on="f" focussize="0,0"/>
                <v:stroke weight="0.737007874015748pt" color="#000000" joinstyle="miter"/>
                <v:imagedata o:title=""/>
                <o:lock v:ext="edit" aspectratio="f"/>
              </v:line>
            </w:pict>
          </mc:Fallback>
        </mc:AlternateContent>
      </w:r>
    </w:p>
    <w:p w:rsidR="00A646F9" w:rsidRDefault="00A646F9">
      <w:pPr>
        <w:spacing w:line="400" w:lineRule="atLeast"/>
        <w:ind w:firstLineChars="200" w:firstLine="420"/>
        <w:contextualSpacing/>
        <w:rPr>
          <w:rFonts w:ascii="Calibri" w:eastAsia="宋体" w:hAnsi="Calibri" w:cs="Times New Roman"/>
          <w:color w:val="000000" w:themeColor="text1"/>
        </w:rPr>
      </w:pPr>
    </w:p>
    <w:p w:rsidR="00A646F9" w:rsidRDefault="00781025">
      <w:pPr>
        <w:rPr>
          <w:rFonts w:ascii="宋体" w:eastAsia="宋体" w:hAnsi="宋体" w:cs="宋体"/>
          <w:color w:val="000000" w:themeColor="text1"/>
          <w:szCs w:val="21"/>
        </w:rPr>
      </w:pPr>
      <w:r>
        <w:rPr>
          <w:rFonts w:ascii="宋体" w:eastAsia="宋体" w:hAnsi="宋体" w:cs="宋体"/>
          <w:color w:val="000000" w:themeColor="text1"/>
          <w:szCs w:val="21"/>
        </w:rPr>
        <w:br w:type="page"/>
      </w:r>
    </w:p>
    <w:p w:rsidR="00A646F9" w:rsidRDefault="00781025">
      <w:pPr>
        <w:spacing w:beforeLines="50" w:before="156" w:afterLines="50" w:after="156" w:line="360" w:lineRule="auto"/>
        <w:contextualSpacing/>
        <w:jc w:val="center"/>
        <w:rPr>
          <w:rFonts w:ascii="黑体" w:eastAsia="黑体" w:hAnsi="Times New Roman" w:cs="Times New Roman"/>
          <w:color w:val="000000" w:themeColor="text1"/>
          <w:kern w:val="0"/>
          <w:szCs w:val="21"/>
        </w:rPr>
      </w:pPr>
      <w:r>
        <w:rPr>
          <w:rFonts w:ascii="黑体" w:eastAsia="黑体" w:hAnsi="Times New Roman" w:cs="Times New Roman" w:hint="eastAsia"/>
          <w:color w:val="000000" w:themeColor="text1"/>
          <w:kern w:val="0"/>
          <w:szCs w:val="21"/>
        </w:rPr>
        <w:lastRenderedPageBreak/>
        <w:t>附录A</w:t>
      </w:r>
    </w:p>
    <w:p w:rsidR="00A646F9" w:rsidRDefault="00781025">
      <w:pPr>
        <w:spacing w:beforeLines="50" w:before="156" w:afterLines="50" w:after="156"/>
        <w:contextualSpacing/>
        <w:jc w:val="center"/>
        <w:rPr>
          <w:rFonts w:ascii="黑体" w:eastAsia="黑体" w:hAnsi="Times New Roman" w:cs="Times New Roman"/>
          <w:color w:val="000000" w:themeColor="text1"/>
          <w:kern w:val="0"/>
          <w:szCs w:val="21"/>
        </w:rPr>
      </w:pPr>
      <w:r>
        <w:rPr>
          <w:rFonts w:ascii="黑体" w:eastAsia="黑体" w:hAnsi="Times New Roman" w:cs="Times New Roman" w:hint="eastAsia"/>
          <w:color w:val="000000" w:themeColor="text1"/>
          <w:kern w:val="0"/>
          <w:szCs w:val="21"/>
        </w:rPr>
        <w:t>（资料性附录）</w:t>
      </w:r>
    </w:p>
    <w:p w:rsidR="00A646F9" w:rsidRDefault="00781025">
      <w:pPr>
        <w:spacing w:beforeLines="50" w:before="156" w:afterLines="50" w:after="156" w:line="360" w:lineRule="auto"/>
        <w:contextualSpacing/>
        <w:jc w:val="center"/>
        <w:rPr>
          <w:rFonts w:ascii="黑体" w:eastAsia="黑体" w:hAnsi="Times New Roman" w:cs="Times New Roman"/>
          <w:color w:val="000000" w:themeColor="text1"/>
          <w:kern w:val="0"/>
          <w:szCs w:val="21"/>
        </w:rPr>
      </w:pPr>
      <w:r>
        <w:rPr>
          <w:rFonts w:ascii="黑体" w:eastAsia="黑体" w:hAnsi="Times New Roman" w:cs="Times New Roman" w:hint="eastAsia"/>
          <w:color w:val="000000" w:themeColor="text1"/>
          <w:kern w:val="0"/>
          <w:szCs w:val="21"/>
        </w:rPr>
        <w:t>秦巴山地生态区</w:t>
      </w:r>
      <w:r>
        <w:rPr>
          <w:rFonts w:ascii="黑体" w:eastAsia="黑体" w:hAnsi="Times New Roman" w:cs="Times New Roman"/>
          <w:color w:val="000000" w:themeColor="text1"/>
          <w:kern w:val="0"/>
          <w:szCs w:val="21"/>
        </w:rPr>
        <w:t xml:space="preserve"> </w:t>
      </w:r>
      <w:r>
        <w:rPr>
          <w:rFonts w:ascii="黑体" w:eastAsia="黑体" w:hAnsi="Times New Roman" w:cs="Times New Roman" w:hint="eastAsia"/>
          <w:color w:val="000000" w:themeColor="text1"/>
          <w:kern w:val="0"/>
          <w:szCs w:val="21"/>
        </w:rPr>
        <w:t>绿色食品核桃生产主要病虫草害防治推荐农药使用方案</w:t>
      </w:r>
    </w:p>
    <w:p w:rsidR="00A646F9" w:rsidRDefault="00A646F9">
      <w:pPr>
        <w:spacing w:beforeLines="50" w:before="156" w:afterLines="50" w:after="156" w:line="360" w:lineRule="auto"/>
        <w:contextualSpacing/>
        <w:rPr>
          <w:rFonts w:ascii="黑体" w:eastAsia="黑体" w:hAnsi="Times New Roman" w:cs="Times New Roman"/>
          <w:color w:val="000000" w:themeColor="text1"/>
          <w:kern w:val="0"/>
          <w:szCs w:val="21"/>
        </w:rPr>
      </w:pPr>
    </w:p>
    <w:p w:rsidR="00A646F9" w:rsidRDefault="00781025">
      <w:pPr>
        <w:spacing w:beforeLines="50" w:before="156" w:afterLines="50" w:after="156" w:line="360" w:lineRule="auto"/>
        <w:contextualSpacing/>
        <w:jc w:val="left"/>
        <w:rPr>
          <w:rFonts w:ascii="宋体" w:eastAsia="宋体" w:hAnsi="宋体" w:cs="Times New Roman"/>
          <w:color w:val="000000" w:themeColor="text1"/>
          <w:kern w:val="0"/>
          <w:szCs w:val="21"/>
        </w:rPr>
      </w:pPr>
      <w:r>
        <w:rPr>
          <w:rFonts w:ascii="宋体" w:eastAsia="宋体" w:hAnsi="宋体" w:cs="Times New Roman" w:hint="eastAsia"/>
          <w:color w:val="000000" w:themeColor="text1"/>
          <w:kern w:val="0"/>
          <w:szCs w:val="21"/>
        </w:rPr>
        <w:t>秦巴山地生态区绿色食品核桃生产主要病虫害草防治推荐农药使用方案见</w:t>
      </w:r>
      <w:r>
        <w:rPr>
          <w:rFonts w:ascii="宋体" w:eastAsia="宋体" w:hAnsi="宋体" w:cs="Times New Roman"/>
          <w:color w:val="000000" w:themeColor="text1"/>
          <w:kern w:val="0"/>
          <w:szCs w:val="21"/>
        </w:rPr>
        <w:t>表</w:t>
      </w:r>
      <w:r>
        <w:rPr>
          <w:rFonts w:ascii="宋体" w:eastAsia="宋体" w:hAnsi="宋体" w:cs="Times New Roman" w:hint="eastAsia"/>
          <w:color w:val="000000" w:themeColor="text1"/>
          <w:kern w:val="0"/>
          <w:szCs w:val="21"/>
        </w:rPr>
        <w:t>A.1。</w:t>
      </w:r>
    </w:p>
    <w:p w:rsidR="00A646F9" w:rsidRDefault="00781025">
      <w:pPr>
        <w:spacing w:beforeLines="50" w:before="156" w:afterLines="50" w:after="156" w:line="360" w:lineRule="auto"/>
        <w:contextualSpacing/>
        <w:jc w:val="center"/>
        <w:rPr>
          <w:rFonts w:ascii="宋体" w:eastAsia="宋体" w:hAnsi="宋体" w:cs="Times New Roman"/>
          <w:color w:val="000000" w:themeColor="text1"/>
          <w:kern w:val="0"/>
          <w:szCs w:val="21"/>
        </w:rPr>
      </w:pPr>
      <w:r>
        <w:rPr>
          <w:rFonts w:ascii="黑体" w:eastAsia="黑体" w:hAnsi="Times New Roman" w:cs="Times New Roman" w:hint="eastAsia"/>
          <w:color w:val="000000" w:themeColor="text1"/>
          <w:kern w:val="0"/>
          <w:szCs w:val="21"/>
        </w:rPr>
        <w:t>表A.1 秦巴山地生态区绿色食品核桃生产主要病虫草害防治推荐农药使用方案</w:t>
      </w:r>
    </w:p>
    <w:tbl>
      <w:tblPr>
        <w:tblStyle w:val="a6"/>
        <w:tblW w:w="0" w:type="auto"/>
        <w:tblLook w:val="04A0" w:firstRow="1" w:lastRow="0" w:firstColumn="1" w:lastColumn="0" w:noHBand="0" w:noVBand="1"/>
      </w:tblPr>
      <w:tblGrid>
        <w:gridCol w:w="1380"/>
        <w:gridCol w:w="1381"/>
        <w:gridCol w:w="1382"/>
        <w:gridCol w:w="1385"/>
        <w:gridCol w:w="1382"/>
        <w:gridCol w:w="1386"/>
      </w:tblGrid>
      <w:tr w:rsidR="00A646F9">
        <w:trPr>
          <w:trHeight w:val="624"/>
        </w:trPr>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防治对象</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防治时期</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农药</w:t>
            </w:r>
            <w:r>
              <w:rPr>
                <w:rFonts w:ascii="宋体" w:eastAsia="宋体" w:hAnsi="宋体" w:cs="Times New Roman" w:hint="eastAsia"/>
                <w:color w:val="000000" w:themeColor="text1"/>
                <w:kern w:val="0"/>
                <w:sz w:val="18"/>
                <w:szCs w:val="18"/>
              </w:rPr>
              <w:t>名称</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使用量</w:t>
            </w:r>
          </w:p>
        </w:tc>
        <w:tc>
          <w:tcPr>
            <w:tcW w:w="1421"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使用</w:t>
            </w:r>
            <w:r>
              <w:rPr>
                <w:rFonts w:ascii="宋体" w:eastAsia="宋体" w:hAnsi="宋体" w:cs="Times New Roman"/>
                <w:color w:val="000000" w:themeColor="text1"/>
                <w:kern w:val="0"/>
                <w:sz w:val="18"/>
                <w:szCs w:val="18"/>
              </w:rPr>
              <w:t>方法</w:t>
            </w:r>
          </w:p>
        </w:tc>
        <w:tc>
          <w:tcPr>
            <w:tcW w:w="1421"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安全间隔</w:t>
            </w:r>
            <w:r>
              <w:rPr>
                <w:rFonts w:ascii="宋体" w:eastAsia="宋体" w:hAnsi="宋体" w:cs="Times New Roman" w:hint="eastAsia"/>
                <w:color w:val="000000" w:themeColor="text1"/>
                <w:kern w:val="0"/>
                <w:sz w:val="18"/>
                <w:szCs w:val="18"/>
              </w:rPr>
              <w:t>期（d）</w:t>
            </w:r>
          </w:p>
        </w:tc>
      </w:tr>
      <w:tr w:rsidR="00A646F9">
        <w:trPr>
          <w:trHeight w:val="624"/>
        </w:trPr>
        <w:tc>
          <w:tcPr>
            <w:tcW w:w="1420" w:type="dxa"/>
            <w:vMerge w:val="restart"/>
            <w:vAlign w:val="center"/>
          </w:tcPr>
          <w:p w:rsidR="00A646F9" w:rsidRDefault="00781025">
            <w:pPr>
              <w:jc w:val="center"/>
              <w:rPr>
                <w:color w:val="000000" w:themeColor="text1"/>
              </w:rPr>
            </w:pPr>
            <w:r>
              <w:rPr>
                <w:rFonts w:ascii="宋体" w:eastAsia="宋体" w:hAnsi="宋体" w:cs="Times New Roman" w:hint="eastAsia"/>
                <w:color w:val="000000" w:themeColor="text1"/>
                <w:kern w:val="0"/>
                <w:sz w:val="18"/>
                <w:szCs w:val="18"/>
              </w:rPr>
              <w:t>黑斑病</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发芽前</w:t>
            </w:r>
          </w:p>
        </w:tc>
        <w:tc>
          <w:tcPr>
            <w:tcW w:w="1420" w:type="dxa"/>
            <w:vAlign w:val="center"/>
          </w:tcPr>
          <w:p w:rsidR="00A646F9" w:rsidRDefault="00781025">
            <w:pPr>
              <w:widowControl/>
              <w:adjustRightInd w:val="0"/>
              <w:snapToGrid w:val="0"/>
              <w:ind w:leftChars="100" w:left="21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石硫合剂</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3</w:t>
            </w:r>
            <w:r>
              <w:rPr>
                <w:rFonts w:ascii="宋体" w:eastAsia="宋体" w:hAnsi="宋体" w:cs="Times New Roman" w:hint="eastAsia"/>
                <w:color w:val="000000" w:themeColor="text1"/>
                <w:kern w:val="0"/>
                <w:sz w:val="18"/>
                <w:szCs w:val="18"/>
              </w:rPr>
              <w:t>°</w:t>
            </w:r>
            <w:proofErr w:type="spellStart"/>
            <w:r>
              <w:rPr>
                <w:rFonts w:ascii="宋体" w:eastAsia="宋体" w:hAnsi="宋体" w:cs="Times New Roman"/>
                <w:color w:val="000000" w:themeColor="text1"/>
                <w:kern w:val="0"/>
                <w:sz w:val="18"/>
                <w:szCs w:val="18"/>
              </w:rPr>
              <w:t>Bé</w:t>
            </w:r>
            <w:proofErr w:type="spellEnd"/>
            <w:r>
              <w:rPr>
                <w:rFonts w:ascii="宋体" w:eastAsia="宋体" w:hAnsi="宋体" w:cs="Times New Roman"/>
                <w:color w:val="000000" w:themeColor="text1"/>
                <w:kern w:val="0"/>
                <w:sz w:val="18"/>
                <w:szCs w:val="18"/>
              </w:rPr>
              <w:t>～5°Bé</w:t>
            </w:r>
          </w:p>
        </w:tc>
        <w:tc>
          <w:tcPr>
            <w:tcW w:w="1421" w:type="dxa"/>
            <w:vMerge w:val="restart"/>
            <w:vAlign w:val="center"/>
          </w:tcPr>
          <w:p w:rsidR="00A646F9" w:rsidRDefault="00781025">
            <w:pPr>
              <w:jc w:val="center"/>
              <w:rPr>
                <w:color w:val="000000" w:themeColor="text1"/>
              </w:rPr>
            </w:pPr>
            <w:r>
              <w:rPr>
                <w:rFonts w:ascii="宋体" w:eastAsia="宋体" w:hAnsi="宋体" w:cs="Times New Roman"/>
                <w:color w:val="000000" w:themeColor="text1"/>
                <w:kern w:val="0"/>
                <w:sz w:val="18"/>
                <w:szCs w:val="18"/>
              </w:rPr>
              <w:t>喷雾</w:t>
            </w:r>
          </w:p>
        </w:tc>
        <w:tc>
          <w:tcPr>
            <w:tcW w:w="1421" w:type="dxa"/>
            <w:vAlign w:val="center"/>
          </w:tcPr>
          <w:p w:rsidR="00A646F9" w:rsidRDefault="00781025">
            <w:pPr>
              <w:jc w:val="center"/>
              <w:rPr>
                <w:color w:val="000000" w:themeColor="text1"/>
              </w:rPr>
            </w:pPr>
            <w:r>
              <w:rPr>
                <w:rFonts w:ascii="宋体" w:eastAsia="宋体" w:hAnsi="宋体" w:cs="Times New Roman"/>
                <w:color w:val="000000" w:themeColor="text1"/>
                <w:kern w:val="0"/>
                <w:sz w:val="18"/>
                <w:szCs w:val="18"/>
              </w:rPr>
              <w:t>—</w:t>
            </w:r>
          </w:p>
        </w:tc>
      </w:tr>
      <w:tr w:rsidR="00A646F9">
        <w:trPr>
          <w:trHeight w:val="624"/>
        </w:trPr>
        <w:tc>
          <w:tcPr>
            <w:tcW w:w="1420" w:type="dxa"/>
            <w:vMerge/>
            <w:vAlign w:val="center"/>
          </w:tcPr>
          <w:p w:rsidR="00A646F9" w:rsidRDefault="00A646F9">
            <w:pPr>
              <w:jc w:val="center"/>
              <w:rPr>
                <w:color w:val="000000" w:themeColor="text1"/>
              </w:rPr>
            </w:pP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雌</w:t>
            </w:r>
            <w:r>
              <w:rPr>
                <w:rFonts w:ascii="宋体" w:eastAsia="宋体" w:hAnsi="宋体" w:cs="Times New Roman"/>
                <w:color w:val="000000" w:themeColor="text1"/>
                <w:kern w:val="0"/>
                <w:sz w:val="18"/>
                <w:szCs w:val="18"/>
              </w:rPr>
              <w:t>花开放前后</w:t>
            </w:r>
          </w:p>
        </w:tc>
        <w:tc>
          <w:tcPr>
            <w:tcW w:w="1420" w:type="dxa"/>
            <w:vAlign w:val="center"/>
          </w:tcPr>
          <w:p w:rsidR="00A646F9" w:rsidRDefault="00781025">
            <w:pPr>
              <w:widowControl/>
              <w:adjustRightInd w:val="0"/>
              <w:snapToGrid w:val="0"/>
              <w:ind w:leftChars="100" w:left="21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波尔多液</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1：0.5：200</w:t>
            </w:r>
          </w:p>
        </w:tc>
        <w:tc>
          <w:tcPr>
            <w:tcW w:w="1421" w:type="dxa"/>
            <w:vMerge/>
            <w:vAlign w:val="center"/>
          </w:tcPr>
          <w:p w:rsidR="00A646F9" w:rsidRDefault="00A646F9">
            <w:pPr>
              <w:jc w:val="center"/>
              <w:rPr>
                <w:color w:val="000000" w:themeColor="text1"/>
              </w:rPr>
            </w:pPr>
          </w:p>
        </w:tc>
        <w:tc>
          <w:tcPr>
            <w:tcW w:w="1421" w:type="dxa"/>
            <w:vAlign w:val="center"/>
          </w:tcPr>
          <w:p w:rsidR="00A646F9" w:rsidRDefault="00781025">
            <w:pPr>
              <w:jc w:val="center"/>
              <w:rPr>
                <w:color w:val="000000" w:themeColor="text1"/>
              </w:rPr>
            </w:pPr>
            <w:r>
              <w:rPr>
                <w:rFonts w:ascii="宋体" w:eastAsia="宋体" w:hAnsi="宋体" w:cs="Times New Roman"/>
                <w:color w:val="000000" w:themeColor="text1"/>
                <w:kern w:val="0"/>
                <w:sz w:val="18"/>
                <w:szCs w:val="18"/>
              </w:rPr>
              <w:t>—</w:t>
            </w:r>
          </w:p>
        </w:tc>
      </w:tr>
      <w:tr w:rsidR="00A646F9">
        <w:trPr>
          <w:trHeight w:val="624"/>
        </w:trPr>
        <w:tc>
          <w:tcPr>
            <w:tcW w:w="1420" w:type="dxa"/>
            <w:vAlign w:val="center"/>
          </w:tcPr>
          <w:p w:rsidR="00A646F9" w:rsidRDefault="00781025">
            <w:pPr>
              <w:jc w:val="center"/>
              <w:rPr>
                <w:color w:val="000000" w:themeColor="text1"/>
              </w:rPr>
            </w:pPr>
            <w:r>
              <w:rPr>
                <w:rFonts w:ascii="宋体" w:eastAsia="宋体" w:hAnsi="宋体" w:cs="Times New Roman" w:hint="eastAsia"/>
                <w:color w:val="000000" w:themeColor="text1"/>
                <w:kern w:val="0"/>
                <w:sz w:val="18"/>
                <w:szCs w:val="18"/>
              </w:rPr>
              <w:t>炭疽病</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6月</w:t>
            </w:r>
            <w:r>
              <w:rPr>
                <w:rFonts w:ascii="宋体" w:eastAsia="宋体" w:hAnsi="宋体" w:cs="Times New Roman" w:hint="eastAsia"/>
                <w:color w:val="000000" w:themeColor="text1"/>
                <w:kern w:val="0"/>
                <w:sz w:val="18"/>
                <w:szCs w:val="18"/>
              </w:rPr>
              <w:t>～</w:t>
            </w:r>
            <w:r>
              <w:rPr>
                <w:rFonts w:ascii="宋体" w:eastAsia="宋体" w:hAnsi="宋体" w:cs="Times New Roman"/>
                <w:color w:val="000000" w:themeColor="text1"/>
                <w:kern w:val="0"/>
                <w:sz w:val="18"/>
                <w:szCs w:val="18"/>
              </w:rPr>
              <w:t>8月</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波尔多液</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1：2：200</w:t>
            </w:r>
          </w:p>
        </w:tc>
        <w:tc>
          <w:tcPr>
            <w:tcW w:w="1421"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喷雾</w:t>
            </w:r>
          </w:p>
        </w:tc>
        <w:tc>
          <w:tcPr>
            <w:tcW w:w="1421"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w:t>
            </w:r>
          </w:p>
        </w:tc>
      </w:tr>
      <w:tr w:rsidR="00A646F9">
        <w:trPr>
          <w:trHeight w:val="624"/>
        </w:trPr>
        <w:tc>
          <w:tcPr>
            <w:tcW w:w="1420" w:type="dxa"/>
            <w:vMerge w:val="restart"/>
            <w:vAlign w:val="center"/>
          </w:tcPr>
          <w:p w:rsidR="00A646F9" w:rsidRDefault="00781025">
            <w:pPr>
              <w:jc w:val="center"/>
              <w:rPr>
                <w:color w:val="000000" w:themeColor="text1"/>
              </w:rPr>
            </w:pPr>
            <w:r>
              <w:rPr>
                <w:rFonts w:ascii="宋体" w:eastAsia="宋体" w:hAnsi="宋体" w:cs="Times New Roman" w:hint="eastAsia"/>
                <w:color w:val="000000" w:themeColor="text1"/>
                <w:kern w:val="0"/>
                <w:sz w:val="18"/>
                <w:szCs w:val="18"/>
              </w:rPr>
              <w:t>云斑天牛</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成虫产卵期</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50%</w:t>
            </w:r>
            <w:r>
              <w:rPr>
                <w:rFonts w:ascii="宋体" w:eastAsia="宋体" w:hAnsi="宋体" w:cs="Times New Roman" w:hint="eastAsia"/>
                <w:color w:val="000000" w:themeColor="text1"/>
                <w:kern w:val="0"/>
                <w:sz w:val="18"/>
                <w:szCs w:val="18"/>
              </w:rPr>
              <w:t>辛硫磷</w:t>
            </w:r>
            <w:r>
              <w:rPr>
                <w:rFonts w:ascii="宋体" w:eastAsia="宋体" w:hAnsi="宋体" w:cs="Times New Roman"/>
                <w:color w:val="000000" w:themeColor="text1"/>
                <w:kern w:val="0"/>
                <w:sz w:val="18"/>
                <w:szCs w:val="18"/>
              </w:rPr>
              <w:t>乳油</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highlight w:val="yellow"/>
              </w:rPr>
            </w:pPr>
            <w:r>
              <w:rPr>
                <w:rFonts w:ascii="宋体" w:eastAsia="宋体" w:hAnsi="宋体" w:cs="Times New Roman"/>
                <w:color w:val="000000" w:themeColor="text1"/>
                <w:kern w:val="0"/>
                <w:sz w:val="18"/>
                <w:szCs w:val="18"/>
              </w:rPr>
              <w:t>800倍液～1000倍液</w:t>
            </w:r>
          </w:p>
        </w:tc>
        <w:tc>
          <w:tcPr>
            <w:tcW w:w="1421"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喷雾</w:t>
            </w:r>
          </w:p>
        </w:tc>
        <w:tc>
          <w:tcPr>
            <w:tcW w:w="1421"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14</w:t>
            </w:r>
          </w:p>
        </w:tc>
      </w:tr>
      <w:tr w:rsidR="00A646F9">
        <w:trPr>
          <w:trHeight w:val="624"/>
        </w:trPr>
        <w:tc>
          <w:tcPr>
            <w:tcW w:w="1420" w:type="dxa"/>
            <w:vMerge/>
            <w:vAlign w:val="center"/>
          </w:tcPr>
          <w:p w:rsidR="00A646F9" w:rsidRDefault="00A646F9">
            <w:pPr>
              <w:jc w:val="center"/>
              <w:rPr>
                <w:color w:val="000000" w:themeColor="text1"/>
              </w:rPr>
            </w:pP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幼虫为害期</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50%</w:t>
            </w:r>
            <w:r>
              <w:rPr>
                <w:rFonts w:ascii="宋体" w:eastAsia="宋体" w:hAnsi="宋体" w:cs="Times New Roman" w:hint="eastAsia"/>
                <w:color w:val="000000" w:themeColor="text1"/>
                <w:kern w:val="0"/>
                <w:sz w:val="18"/>
                <w:szCs w:val="18"/>
              </w:rPr>
              <w:t>辛硫磷</w:t>
            </w:r>
            <w:r>
              <w:rPr>
                <w:rFonts w:ascii="宋体" w:eastAsia="宋体" w:hAnsi="宋体" w:cs="Times New Roman"/>
                <w:color w:val="000000" w:themeColor="text1"/>
                <w:kern w:val="0"/>
                <w:sz w:val="18"/>
                <w:szCs w:val="18"/>
              </w:rPr>
              <w:t>乳油</w:t>
            </w:r>
          </w:p>
        </w:tc>
        <w:tc>
          <w:tcPr>
            <w:tcW w:w="1420"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200倍液</w:t>
            </w:r>
          </w:p>
        </w:tc>
        <w:tc>
          <w:tcPr>
            <w:tcW w:w="1421" w:type="dxa"/>
            <w:vAlign w:val="center"/>
          </w:tcPr>
          <w:p w:rsidR="00A646F9" w:rsidRDefault="00781025">
            <w:pPr>
              <w:widowControl/>
              <w:adjustRightInd w:val="0"/>
              <w:snapToGrid w:val="0"/>
              <w:ind w:firstLineChars="50" w:firstLine="9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蛀孔注射</w:t>
            </w:r>
          </w:p>
        </w:tc>
        <w:tc>
          <w:tcPr>
            <w:tcW w:w="1421" w:type="dxa"/>
            <w:vAlign w:val="center"/>
          </w:tcPr>
          <w:p w:rsidR="00A646F9" w:rsidRDefault="00781025">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14</w:t>
            </w:r>
          </w:p>
        </w:tc>
      </w:tr>
      <w:tr w:rsidR="00A646F9">
        <w:trPr>
          <w:trHeight w:val="624"/>
        </w:trPr>
        <w:tc>
          <w:tcPr>
            <w:tcW w:w="1420" w:type="dxa"/>
            <w:vAlign w:val="center"/>
          </w:tcPr>
          <w:p w:rsidR="00A646F9" w:rsidRDefault="00781025">
            <w:pPr>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横沟</w:t>
            </w:r>
            <w:proofErr w:type="gramStart"/>
            <w:r>
              <w:rPr>
                <w:rFonts w:ascii="宋体" w:eastAsia="宋体" w:hAnsi="宋体" w:cs="Times New Roman" w:hint="eastAsia"/>
                <w:color w:val="000000" w:themeColor="text1"/>
                <w:kern w:val="0"/>
                <w:sz w:val="18"/>
                <w:szCs w:val="18"/>
              </w:rPr>
              <w:t>象</w:t>
            </w:r>
            <w:proofErr w:type="gramEnd"/>
            <w:r>
              <w:rPr>
                <w:rFonts w:ascii="宋体" w:eastAsia="宋体" w:hAnsi="宋体" w:cs="Times New Roman" w:hint="eastAsia"/>
                <w:color w:val="000000" w:themeColor="text1"/>
                <w:kern w:val="0"/>
                <w:sz w:val="18"/>
                <w:szCs w:val="18"/>
              </w:rPr>
              <w:t>（根</w:t>
            </w:r>
            <w:proofErr w:type="gramStart"/>
            <w:r>
              <w:rPr>
                <w:rFonts w:ascii="宋体" w:eastAsia="宋体" w:hAnsi="宋体" w:cs="Times New Roman" w:hint="eastAsia"/>
                <w:color w:val="000000" w:themeColor="text1"/>
                <w:kern w:val="0"/>
                <w:sz w:val="18"/>
                <w:szCs w:val="18"/>
              </w:rPr>
              <w:t>象</w:t>
            </w:r>
            <w:proofErr w:type="gramEnd"/>
            <w:r>
              <w:rPr>
                <w:rFonts w:ascii="宋体" w:eastAsia="宋体" w:hAnsi="宋体" w:cs="Times New Roman" w:hint="eastAsia"/>
                <w:color w:val="000000" w:themeColor="text1"/>
                <w:kern w:val="0"/>
                <w:sz w:val="18"/>
                <w:szCs w:val="18"/>
              </w:rPr>
              <w:t>甲）</w:t>
            </w:r>
          </w:p>
        </w:tc>
        <w:tc>
          <w:tcPr>
            <w:tcW w:w="1420" w:type="dxa"/>
            <w:vAlign w:val="center"/>
          </w:tcPr>
          <w:p w:rsidR="00A646F9" w:rsidRDefault="00781025">
            <w:pPr>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5月</w:t>
            </w:r>
            <w:r>
              <w:rPr>
                <w:rFonts w:ascii="宋体" w:eastAsia="宋体" w:hAnsi="宋体" w:cs="Times New Roman" w:hint="eastAsia"/>
                <w:color w:val="000000" w:themeColor="text1"/>
                <w:kern w:val="0"/>
                <w:sz w:val="18"/>
                <w:szCs w:val="18"/>
              </w:rPr>
              <w:t>～</w:t>
            </w:r>
            <w:r>
              <w:rPr>
                <w:rFonts w:ascii="宋体" w:eastAsia="宋体" w:hAnsi="宋体" w:cs="Times New Roman"/>
                <w:color w:val="000000" w:themeColor="text1"/>
                <w:kern w:val="0"/>
                <w:sz w:val="18"/>
                <w:szCs w:val="18"/>
              </w:rPr>
              <w:t>7月</w:t>
            </w:r>
          </w:p>
        </w:tc>
        <w:tc>
          <w:tcPr>
            <w:tcW w:w="1420" w:type="dxa"/>
            <w:vAlign w:val="center"/>
          </w:tcPr>
          <w:p w:rsidR="00A646F9" w:rsidRDefault="00781025">
            <w:pPr>
              <w:jc w:val="center"/>
            </w:pPr>
            <w:r>
              <w:rPr>
                <w:rFonts w:ascii="宋体" w:eastAsia="宋体" w:hAnsi="宋体" w:cs="Times New Roman"/>
                <w:color w:val="000000" w:themeColor="text1"/>
                <w:kern w:val="0"/>
                <w:sz w:val="18"/>
                <w:szCs w:val="18"/>
              </w:rPr>
              <w:t>50%</w:t>
            </w:r>
            <w:r>
              <w:rPr>
                <w:rFonts w:ascii="宋体" w:eastAsia="宋体" w:hAnsi="宋体" w:cs="Times New Roman" w:hint="eastAsia"/>
                <w:color w:val="000000" w:themeColor="text1"/>
                <w:kern w:val="0"/>
                <w:sz w:val="18"/>
                <w:szCs w:val="18"/>
              </w:rPr>
              <w:t>辛硫磷</w:t>
            </w:r>
            <w:r>
              <w:rPr>
                <w:rFonts w:ascii="宋体" w:eastAsia="宋体" w:hAnsi="宋体" w:cs="Times New Roman"/>
                <w:color w:val="000000" w:themeColor="text1"/>
                <w:kern w:val="0"/>
                <w:sz w:val="18"/>
                <w:szCs w:val="18"/>
              </w:rPr>
              <w:t>乳油</w:t>
            </w:r>
          </w:p>
        </w:tc>
        <w:tc>
          <w:tcPr>
            <w:tcW w:w="1420" w:type="dxa"/>
            <w:vAlign w:val="center"/>
          </w:tcPr>
          <w:p w:rsidR="00A646F9" w:rsidRDefault="00781025">
            <w:pPr>
              <w:jc w:val="center"/>
            </w:pPr>
            <w:r>
              <w:rPr>
                <w:rFonts w:ascii="宋体" w:eastAsia="宋体" w:hAnsi="宋体" w:cs="Times New Roman"/>
                <w:color w:val="000000" w:themeColor="text1"/>
                <w:kern w:val="0"/>
                <w:sz w:val="18"/>
                <w:szCs w:val="18"/>
              </w:rPr>
              <w:t>1000倍液</w:t>
            </w:r>
          </w:p>
        </w:tc>
        <w:tc>
          <w:tcPr>
            <w:tcW w:w="1421" w:type="dxa"/>
            <w:vAlign w:val="center"/>
          </w:tcPr>
          <w:p w:rsidR="00A646F9" w:rsidRDefault="00781025">
            <w:pPr>
              <w:jc w:val="center"/>
            </w:pPr>
            <w:r>
              <w:rPr>
                <w:rFonts w:ascii="宋体" w:eastAsia="宋体" w:hAnsi="宋体" w:cs="Times New Roman" w:hint="eastAsia"/>
                <w:color w:val="000000" w:themeColor="text1"/>
                <w:kern w:val="0"/>
                <w:sz w:val="18"/>
                <w:szCs w:val="18"/>
              </w:rPr>
              <w:t>树冠、根颈</w:t>
            </w:r>
            <w:r>
              <w:rPr>
                <w:rFonts w:ascii="宋体" w:eastAsia="宋体" w:hAnsi="宋体" w:cs="Times New Roman"/>
                <w:color w:val="000000" w:themeColor="text1"/>
                <w:kern w:val="0"/>
                <w:sz w:val="18"/>
                <w:szCs w:val="18"/>
              </w:rPr>
              <w:t>喷雾</w:t>
            </w:r>
          </w:p>
        </w:tc>
        <w:tc>
          <w:tcPr>
            <w:tcW w:w="1421" w:type="dxa"/>
            <w:vAlign w:val="center"/>
          </w:tcPr>
          <w:p w:rsidR="00A646F9" w:rsidRDefault="00781025">
            <w:pPr>
              <w:jc w:val="center"/>
            </w:pPr>
            <w:r>
              <w:rPr>
                <w:rFonts w:ascii="宋体" w:eastAsia="宋体" w:hAnsi="宋体" w:cs="Times New Roman" w:hint="eastAsia"/>
                <w:color w:val="000000" w:themeColor="text1"/>
                <w:kern w:val="0"/>
                <w:sz w:val="18"/>
                <w:szCs w:val="18"/>
              </w:rPr>
              <w:t>14</w:t>
            </w:r>
          </w:p>
        </w:tc>
      </w:tr>
      <w:tr w:rsidR="00A646F9">
        <w:trPr>
          <w:trHeight w:val="624"/>
        </w:trPr>
        <w:tc>
          <w:tcPr>
            <w:tcW w:w="8522" w:type="dxa"/>
            <w:gridSpan w:val="6"/>
            <w:vAlign w:val="center"/>
          </w:tcPr>
          <w:p w:rsidR="00A646F9" w:rsidRDefault="00781025">
            <w:pPr>
              <w:jc w:val="left"/>
            </w:pPr>
            <w:r>
              <w:rPr>
                <w:rFonts w:ascii="宋体" w:eastAsia="宋体" w:hAnsi="宋体" w:cs="Times New Roman" w:hint="eastAsia"/>
                <w:color w:val="000000" w:themeColor="text1"/>
                <w:kern w:val="0"/>
                <w:sz w:val="18"/>
                <w:szCs w:val="18"/>
              </w:rPr>
              <w:t>注：农药使用应以最新版本NY/T393的规定为准。</w:t>
            </w:r>
          </w:p>
        </w:tc>
      </w:tr>
    </w:tbl>
    <w:p w:rsidR="00A646F9" w:rsidRDefault="00A646F9">
      <w:pPr>
        <w:rPr>
          <w:color w:val="000000" w:themeColor="text1"/>
        </w:rPr>
      </w:pPr>
    </w:p>
    <w:p w:rsidR="00CD4009" w:rsidRDefault="00CD4009">
      <w:pPr>
        <w:rPr>
          <w:color w:val="000000" w:themeColor="text1"/>
        </w:rPr>
      </w:pPr>
    </w:p>
    <w:p w:rsidR="00CD4009" w:rsidRDefault="00CD4009">
      <w:pPr>
        <w:rPr>
          <w:color w:val="000000" w:themeColor="text1"/>
        </w:rPr>
      </w:pPr>
      <w:r>
        <w:rPr>
          <w:rFonts w:hint="eastAsia"/>
          <w:noProof/>
          <w:color w:val="000000" w:themeColor="text1"/>
        </w:rPr>
        <mc:AlternateContent>
          <mc:Choice Requires="wps">
            <w:drawing>
              <wp:anchor distT="0" distB="0" distL="114300" distR="114300" simplePos="0" relativeHeight="251662336" behindDoc="0" locked="0" layoutInCell="1" allowOverlap="1">
                <wp:simplePos x="0" y="0"/>
                <wp:positionH relativeFrom="column">
                  <wp:posOffset>1177232</wp:posOffset>
                </wp:positionH>
                <wp:positionV relativeFrom="paragraph">
                  <wp:posOffset>20955</wp:posOffset>
                </wp:positionV>
                <wp:extent cx="2768138" cy="16626"/>
                <wp:effectExtent l="0" t="0" r="32385" b="21590"/>
                <wp:wrapNone/>
                <wp:docPr id="4" name="直接连接符 4"/>
                <wp:cNvGraphicFramePr/>
                <a:graphic xmlns:a="http://schemas.openxmlformats.org/drawingml/2006/main">
                  <a:graphicData uri="http://schemas.microsoft.com/office/word/2010/wordprocessingShape">
                    <wps:wsp>
                      <wps:cNvCnPr/>
                      <wps:spPr>
                        <a:xfrm flipV="1">
                          <a:off x="0" y="0"/>
                          <a:ext cx="2768138" cy="1662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D6C3D4" id="直接连接符 4" o:spid="_x0000_s1026" style="position:absolute;left:0;text-align:left;flip:y;z-index:251662336;visibility:visible;mso-wrap-style:square;mso-wrap-distance-left:9pt;mso-wrap-distance-top:0;mso-wrap-distance-right:9pt;mso-wrap-distance-bottom:0;mso-position-horizontal:absolute;mso-position-horizontal-relative:text;mso-position-vertical:absolute;mso-position-vertical-relative:text" from="92.7pt,1.65pt" to="310.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" strokecolor="black [3213]" strokeweight=".5pt">
                <v:stroke joinstyle="miter"/>
              </v:line>
            </w:pict>
          </mc:Fallback>
        </mc:AlternateContent>
      </w:r>
    </w:p>
    <w:sectPr w:rsidR="00CD4009">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D80" w:rsidRDefault="00912D80">
      <w:r>
        <w:separator/>
      </w:r>
    </w:p>
  </w:endnote>
  <w:endnote w:type="continuationSeparator" w:id="0">
    <w:p w:rsidR="00912D80" w:rsidRDefault="00912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6F9" w:rsidRDefault="00781025">
    <w:pPr>
      <w:pStyle w:val="a4"/>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646F9" w:rsidRDefault="00781025">
                          <w:pPr>
                            <w:pStyle w:val="a4"/>
                          </w:pPr>
                          <w:r>
                            <w:fldChar w:fldCharType="begin"/>
                          </w:r>
                          <w:r>
                            <w:instrText xml:space="preserve"> PAGE  \* MERGEFORMAT </w:instrText>
                          </w:r>
                          <w:r>
                            <w:fldChar w:fldCharType="separate"/>
                          </w:r>
                          <w:r w:rsidR="00A45B23">
                            <w:rPr>
                              <w:noProof/>
                            </w:rP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A646F9" w:rsidRDefault="00781025">
                    <w:pPr>
                      <w:pStyle w:val="a4"/>
                    </w:pPr>
                    <w:r>
                      <w:fldChar w:fldCharType="begin"/>
                    </w:r>
                    <w:r>
                      <w:instrText xml:space="preserve"> PAGE  \* MERGEFORMAT </w:instrText>
                    </w:r>
                    <w:r>
                      <w:fldChar w:fldCharType="separate"/>
                    </w:r>
                    <w:r w:rsidR="00A45B23">
                      <w:rPr>
                        <w:noProof/>
                      </w:rPr>
                      <w:t>11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D80" w:rsidRDefault="00912D80">
      <w:r>
        <w:separator/>
      </w:r>
    </w:p>
  </w:footnote>
  <w:footnote w:type="continuationSeparator" w:id="0">
    <w:p w:rsidR="00912D80" w:rsidRDefault="00912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3NTc5YTkzYTY2ODdmZGM3YjA3NDljNWQxMGI2MTMifQ=="/>
  </w:docVars>
  <w:rsids>
    <w:rsidRoot w:val="00B75189"/>
    <w:rsid w:val="000323B8"/>
    <w:rsid w:val="0006128E"/>
    <w:rsid w:val="00061A61"/>
    <w:rsid w:val="00070052"/>
    <w:rsid w:val="0007481E"/>
    <w:rsid w:val="00074EC6"/>
    <w:rsid w:val="000A56D4"/>
    <w:rsid w:val="000F210F"/>
    <w:rsid w:val="001323E3"/>
    <w:rsid w:val="00134E53"/>
    <w:rsid w:val="00145400"/>
    <w:rsid w:val="00166B68"/>
    <w:rsid w:val="001704A1"/>
    <w:rsid w:val="001C129B"/>
    <w:rsid w:val="001C5178"/>
    <w:rsid w:val="001D024C"/>
    <w:rsid w:val="001F3BA4"/>
    <w:rsid w:val="002145E0"/>
    <w:rsid w:val="002341E1"/>
    <w:rsid w:val="00246C06"/>
    <w:rsid w:val="002823CF"/>
    <w:rsid w:val="00286B0A"/>
    <w:rsid w:val="002D0511"/>
    <w:rsid w:val="002E3F17"/>
    <w:rsid w:val="00323732"/>
    <w:rsid w:val="00332288"/>
    <w:rsid w:val="00354918"/>
    <w:rsid w:val="0035604D"/>
    <w:rsid w:val="003753E3"/>
    <w:rsid w:val="0039085C"/>
    <w:rsid w:val="003A761D"/>
    <w:rsid w:val="003C0FFF"/>
    <w:rsid w:val="003F00E8"/>
    <w:rsid w:val="003F5153"/>
    <w:rsid w:val="003F590E"/>
    <w:rsid w:val="003F6FBF"/>
    <w:rsid w:val="00411EBF"/>
    <w:rsid w:val="004171D8"/>
    <w:rsid w:val="00446A46"/>
    <w:rsid w:val="004846E6"/>
    <w:rsid w:val="004A3764"/>
    <w:rsid w:val="004E40F9"/>
    <w:rsid w:val="004E43CD"/>
    <w:rsid w:val="004E6367"/>
    <w:rsid w:val="004E7FDE"/>
    <w:rsid w:val="0051072A"/>
    <w:rsid w:val="005145D2"/>
    <w:rsid w:val="00521E8F"/>
    <w:rsid w:val="005228B1"/>
    <w:rsid w:val="005402BD"/>
    <w:rsid w:val="0054336C"/>
    <w:rsid w:val="00543653"/>
    <w:rsid w:val="005568C4"/>
    <w:rsid w:val="00562106"/>
    <w:rsid w:val="00575F61"/>
    <w:rsid w:val="00577F94"/>
    <w:rsid w:val="00595B97"/>
    <w:rsid w:val="005E70F4"/>
    <w:rsid w:val="005E7238"/>
    <w:rsid w:val="005F3F18"/>
    <w:rsid w:val="0060315E"/>
    <w:rsid w:val="006317E1"/>
    <w:rsid w:val="00652C19"/>
    <w:rsid w:val="00664176"/>
    <w:rsid w:val="00675582"/>
    <w:rsid w:val="0067596F"/>
    <w:rsid w:val="0068639F"/>
    <w:rsid w:val="006F3E73"/>
    <w:rsid w:val="006F424B"/>
    <w:rsid w:val="00734966"/>
    <w:rsid w:val="00762F67"/>
    <w:rsid w:val="00765484"/>
    <w:rsid w:val="00781025"/>
    <w:rsid w:val="007E377B"/>
    <w:rsid w:val="0083298E"/>
    <w:rsid w:val="00846019"/>
    <w:rsid w:val="008851F6"/>
    <w:rsid w:val="008867B3"/>
    <w:rsid w:val="008A4D82"/>
    <w:rsid w:val="008C2476"/>
    <w:rsid w:val="008D2649"/>
    <w:rsid w:val="008F4390"/>
    <w:rsid w:val="008F744E"/>
    <w:rsid w:val="00912D80"/>
    <w:rsid w:val="00923A24"/>
    <w:rsid w:val="009705F0"/>
    <w:rsid w:val="00972D88"/>
    <w:rsid w:val="009B7864"/>
    <w:rsid w:val="009C55DB"/>
    <w:rsid w:val="009E0671"/>
    <w:rsid w:val="009F7AA6"/>
    <w:rsid w:val="00A007F1"/>
    <w:rsid w:val="00A1523E"/>
    <w:rsid w:val="00A170DD"/>
    <w:rsid w:val="00A43065"/>
    <w:rsid w:val="00A45B23"/>
    <w:rsid w:val="00A646F9"/>
    <w:rsid w:val="00A90337"/>
    <w:rsid w:val="00AB04F9"/>
    <w:rsid w:val="00AB35C0"/>
    <w:rsid w:val="00AE341B"/>
    <w:rsid w:val="00AF6B89"/>
    <w:rsid w:val="00AF6CA2"/>
    <w:rsid w:val="00B027E1"/>
    <w:rsid w:val="00B1188F"/>
    <w:rsid w:val="00B24FB0"/>
    <w:rsid w:val="00B52967"/>
    <w:rsid w:val="00B6740A"/>
    <w:rsid w:val="00B71043"/>
    <w:rsid w:val="00B75189"/>
    <w:rsid w:val="00BB06A1"/>
    <w:rsid w:val="00BB3782"/>
    <w:rsid w:val="00BB71D2"/>
    <w:rsid w:val="00C26A13"/>
    <w:rsid w:val="00C5269F"/>
    <w:rsid w:val="00C71CEB"/>
    <w:rsid w:val="00C72FB6"/>
    <w:rsid w:val="00C80D4D"/>
    <w:rsid w:val="00C84421"/>
    <w:rsid w:val="00CC5034"/>
    <w:rsid w:val="00CD4009"/>
    <w:rsid w:val="00CE475D"/>
    <w:rsid w:val="00D10D59"/>
    <w:rsid w:val="00D71318"/>
    <w:rsid w:val="00D74252"/>
    <w:rsid w:val="00D86677"/>
    <w:rsid w:val="00DA0A6C"/>
    <w:rsid w:val="00DA4EFF"/>
    <w:rsid w:val="00DC2BA9"/>
    <w:rsid w:val="00DD7042"/>
    <w:rsid w:val="00E22747"/>
    <w:rsid w:val="00E437D0"/>
    <w:rsid w:val="00E60AFB"/>
    <w:rsid w:val="00E91437"/>
    <w:rsid w:val="00EA59FC"/>
    <w:rsid w:val="00EC4ACE"/>
    <w:rsid w:val="00ED0697"/>
    <w:rsid w:val="00EF1438"/>
    <w:rsid w:val="00EF412F"/>
    <w:rsid w:val="00EF5A12"/>
    <w:rsid w:val="00EF5EE1"/>
    <w:rsid w:val="00F02971"/>
    <w:rsid w:val="00F02F36"/>
    <w:rsid w:val="00F4411E"/>
    <w:rsid w:val="00F56C7C"/>
    <w:rsid w:val="00F6029A"/>
    <w:rsid w:val="00F61924"/>
    <w:rsid w:val="00F77D9E"/>
    <w:rsid w:val="00F84404"/>
    <w:rsid w:val="00F924AF"/>
    <w:rsid w:val="00F973BA"/>
    <w:rsid w:val="00FA2044"/>
    <w:rsid w:val="00FB091A"/>
    <w:rsid w:val="00FB7C07"/>
    <w:rsid w:val="00FC794C"/>
    <w:rsid w:val="00FD598F"/>
    <w:rsid w:val="019124C9"/>
    <w:rsid w:val="01A7022B"/>
    <w:rsid w:val="01C25065"/>
    <w:rsid w:val="026E2C5E"/>
    <w:rsid w:val="036A1510"/>
    <w:rsid w:val="03731875"/>
    <w:rsid w:val="037C5AE7"/>
    <w:rsid w:val="041D2A27"/>
    <w:rsid w:val="04673CA2"/>
    <w:rsid w:val="04A75741"/>
    <w:rsid w:val="04DB627B"/>
    <w:rsid w:val="04F3493C"/>
    <w:rsid w:val="04F80D9E"/>
    <w:rsid w:val="05595CE0"/>
    <w:rsid w:val="057D68CF"/>
    <w:rsid w:val="05CE287A"/>
    <w:rsid w:val="06064C2C"/>
    <w:rsid w:val="063A3DE3"/>
    <w:rsid w:val="06716FC0"/>
    <w:rsid w:val="06EE3CF3"/>
    <w:rsid w:val="082B5F00"/>
    <w:rsid w:val="08812D57"/>
    <w:rsid w:val="091C3DF7"/>
    <w:rsid w:val="097C01EF"/>
    <w:rsid w:val="09804F7A"/>
    <w:rsid w:val="09BE1C20"/>
    <w:rsid w:val="09F01414"/>
    <w:rsid w:val="0A4A3083"/>
    <w:rsid w:val="0AAD5FAB"/>
    <w:rsid w:val="0BF422BF"/>
    <w:rsid w:val="0C3D72CE"/>
    <w:rsid w:val="0C41302A"/>
    <w:rsid w:val="0C746431"/>
    <w:rsid w:val="0C747975"/>
    <w:rsid w:val="0D0200EC"/>
    <w:rsid w:val="0DAE5F61"/>
    <w:rsid w:val="0E214EC1"/>
    <w:rsid w:val="0E6A026A"/>
    <w:rsid w:val="0E8D6A88"/>
    <w:rsid w:val="0E9F6F26"/>
    <w:rsid w:val="0EF10E0A"/>
    <w:rsid w:val="0EF57C49"/>
    <w:rsid w:val="0F075157"/>
    <w:rsid w:val="10A9466D"/>
    <w:rsid w:val="111D5B2E"/>
    <w:rsid w:val="11560D26"/>
    <w:rsid w:val="115E39F7"/>
    <w:rsid w:val="11733C86"/>
    <w:rsid w:val="11743539"/>
    <w:rsid w:val="117B7CDD"/>
    <w:rsid w:val="12360481"/>
    <w:rsid w:val="126857B5"/>
    <w:rsid w:val="12D15108"/>
    <w:rsid w:val="12EC296B"/>
    <w:rsid w:val="136E1E3A"/>
    <w:rsid w:val="136E6C86"/>
    <w:rsid w:val="15BF57A5"/>
    <w:rsid w:val="15F5735F"/>
    <w:rsid w:val="176A5B2B"/>
    <w:rsid w:val="176F1F1A"/>
    <w:rsid w:val="181141F9"/>
    <w:rsid w:val="18B5582F"/>
    <w:rsid w:val="18BE612E"/>
    <w:rsid w:val="19143FA0"/>
    <w:rsid w:val="19DF45AE"/>
    <w:rsid w:val="1A8274EB"/>
    <w:rsid w:val="1A916CB8"/>
    <w:rsid w:val="1B33028B"/>
    <w:rsid w:val="1B551BE2"/>
    <w:rsid w:val="1BBF43CB"/>
    <w:rsid w:val="1BD80EC3"/>
    <w:rsid w:val="1C2306AB"/>
    <w:rsid w:val="1C80194D"/>
    <w:rsid w:val="1CBC3ACD"/>
    <w:rsid w:val="1CDA72AF"/>
    <w:rsid w:val="1CF16B85"/>
    <w:rsid w:val="1D2B26BD"/>
    <w:rsid w:val="1E0526C2"/>
    <w:rsid w:val="1E1F2055"/>
    <w:rsid w:val="1EC95E85"/>
    <w:rsid w:val="1ECF2B88"/>
    <w:rsid w:val="1F9971D3"/>
    <w:rsid w:val="2034233E"/>
    <w:rsid w:val="206A0A6B"/>
    <w:rsid w:val="209F2C00"/>
    <w:rsid w:val="20F465BA"/>
    <w:rsid w:val="214271D1"/>
    <w:rsid w:val="215D6618"/>
    <w:rsid w:val="216B500D"/>
    <w:rsid w:val="21A00185"/>
    <w:rsid w:val="236000B9"/>
    <w:rsid w:val="239F090A"/>
    <w:rsid w:val="23F46EA8"/>
    <w:rsid w:val="240270CA"/>
    <w:rsid w:val="24066BDB"/>
    <w:rsid w:val="24545B17"/>
    <w:rsid w:val="24EB4935"/>
    <w:rsid w:val="251B66B7"/>
    <w:rsid w:val="252F2D8E"/>
    <w:rsid w:val="25652F0E"/>
    <w:rsid w:val="25C3751D"/>
    <w:rsid w:val="26565387"/>
    <w:rsid w:val="26783B75"/>
    <w:rsid w:val="26937225"/>
    <w:rsid w:val="27C923FA"/>
    <w:rsid w:val="27FE6547"/>
    <w:rsid w:val="28387FCE"/>
    <w:rsid w:val="289C035C"/>
    <w:rsid w:val="29B334E6"/>
    <w:rsid w:val="29F660A7"/>
    <w:rsid w:val="2A074090"/>
    <w:rsid w:val="2A2C3777"/>
    <w:rsid w:val="2A6A443A"/>
    <w:rsid w:val="2A8335BF"/>
    <w:rsid w:val="2B6D288B"/>
    <w:rsid w:val="2B75645C"/>
    <w:rsid w:val="2BAC62BA"/>
    <w:rsid w:val="2C261233"/>
    <w:rsid w:val="2C4401AD"/>
    <w:rsid w:val="2C9C16A2"/>
    <w:rsid w:val="2D3C18C9"/>
    <w:rsid w:val="2E342143"/>
    <w:rsid w:val="2EEE6515"/>
    <w:rsid w:val="2F045D38"/>
    <w:rsid w:val="307B1FDB"/>
    <w:rsid w:val="30926091"/>
    <w:rsid w:val="313F3344"/>
    <w:rsid w:val="31560738"/>
    <w:rsid w:val="318B0E78"/>
    <w:rsid w:val="320F30FF"/>
    <w:rsid w:val="32944F30"/>
    <w:rsid w:val="329F1212"/>
    <w:rsid w:val="32D31CD7"/>
    <w:rsid w:val="32D84DC3"/>
    <w:rsid w:val="330C5891"/>
    <w:rsid w:val="33260700"/>
    <w:rsid w:val="338E3D35"/>
    <w:rsid w:val="33F45321"/>
    <w:rsid w:val="345C196C"/>
    <w:rsid w:val="3498710C"/>
    <w:rsid w:val="34B61F58"/>
    <w:rsid w:val="34D54B40"/>
    <w:rsid w:val="35A62E51"/>
    <w:rsid w:val="35B75F88"/>
    <w:rsid w:val="35FC7E3E"/>
    <w:rsid w:val="36147D4B"/>
    <w:rsid w:val="36A3616E"/>
    <w:rsid w:val="371C74D7"/>
    <w:rsid w:val="3745296E"/>
    <w:rsid w:val="3851753C"/>
    <w:rsid w:val="38DB1F8D"/>
    <w:rsid w:val="38F71DFD"/>
    <w:rsid w:val="3AD0464F"/>
    <w:rsid w:val="3B4843C8"/>
    <w:rsid w:val="3B676243"/>
    <w:rsid w:val="3BD93542"/>
    <w:rsid w:val="3C324B34"/>
    <w:rsid w:val="3C516E85"/>
    <w:rsid w:val="3C6D0B64"/>
    <w:rsid w:val="3CFA20A1"/>
    <w:rsid w:val="3D2063AE"/>
    <w:rsid w:val="3D255522"/>
    <w:rsid w:val="3D2C40A3"/>
    <w:rsid w:val="3D711112"/>
    <w:rsid w:val="3D7B71C2"/>
    <w:rsid w:val="3DE87C02"/>
    <w:rsid w:val="3EC7672F"/>
    <w:rsid w:val="3F137FD5"/>
    <w:rsid w:val="3F475D09"/>
    <w:rsid w:val="3F9A38C8"/>
    <w:rsid w:val="3F9D61EE"/>
    <w:rsid w:val="3FD17940"/>
    <w:rsid w:val="40AA275B"/>
    <w:rsid w:val="40E02836"/>
    <w:rsid w:val="41270BD1"/>
    <w:rsid w:val="41911D83"/>
    <w:rsid w:val="41FA7EA6"/>
    <w:rsid w:val="42725710"/>
    <w:rsid w:val="42D75573"/>
    <w:rsid w:val="42EB74CC"/>
    <w:rsid w:val="438A4C03"/>
    <w:rsid w:val="439F57A4"/>
    <w:rsid w:val="446F7753"/>
    <w:rsid w:val="447A1070"/>
    <w:rsid w:val="448F3E52"/>
    <w:rsid w:val="44C2773E"/>
    <w:rsid w:val="44D71FDD"/>
    <w:rsid w:val="457A19CB"/>
    <w:rsid w:val="45DC0B90"/>
    <w:rsid w:val="460A6A25"/>
    <w:rsid w:val="461B0232"/>
    <w:rsid w:val="461C2B19"/>
    <w:rsid w:val="4629583F"/>
    <w:rsid w:val="46A50CD8"/>
    <w:rsid w:val="46A74398"/>
    <w:rsid w:val="46CF1560"/>
    <w:rsid w:val="46FF778E"/>
    <w:rsid w:val="4700584F"/>
    <w:rsid w:val="474F34AF"/>
    <w:rsid w:val="479E2B03"/>
    <w:rsid w:val="48FB5D34"/>
    <w:rsid w:val="4AAE2D4A"/>
    <w:rsid w:val="4B140CF8"/>
    <w:rsid w:val="4BBE2E56"/>
    <w:rsid w:val="4BEA1398"/>
    <w:rsid w:val="4CFA4C80"/>
    <w:rsid w:val="4D8F6B17"/>
    <w:rsid w:val="4E9E0267"/>
    <w:rsid w:val="4EDC6305"/>
    <w:rsid w:val="4EF30137"/>
    <w:rsid w:val="4F1D4F71"/>
    <w:rsid w:val="4F550C94"/>
    <w:rsid w:val="507630BB"/>
    <w:rsid w:val="508152A5"/>
    <w:rsid w:val="532F15C2"/>
    <w:rsid w:val="53924D2E"/>
    <w:rsid w:val="53AD60D9"/>
    <w:rsid w:val="53AF0E78"/>
    <w:rsid w:val="53CF3349"/>
    <w:rsid w:val="544A5D98"/>
    <w:rsid w:val="54DD2D8A"/>
    <w:rsid w:val="54F1453C"/>
    <w:rsid w:val="5522432B"/>
    <w:rsid w:val="55A617A2"/>
    <w:rsid w:val="55F93850"/>
    <w:rsid w:val="561019BC"/>
    <w:rsid w:val="56525419"/>
    <w:rsid w:val="56953337"/>
    <w:rsid w:val="57284198"/>
    <w:rsid w:val="572C3A51"/>
    <w:rsid w:val="574474B6"/>
    <w:rsid w:val="57A817BF"/>
    <w:rsid w:val="57BD64BA"/>
    <w:rsid w:val="580C30E2"/>
    <w:rsid w:val="58300383"/>
    <w:rsid w:val="583859B8"/>
    <w:rsid w:val="58520BD6"/>
    <w:rsid w:val="589E4FE6"/>
    <w:rsid w:val="58BC0A5A"/>
    <w:rsid w:val="58F84874"/>
    <w:rsid w:val="58FB412D"/>
    <w:rsid w:val="59335951"/>
    <w:rsid w:val="59477B29"/>
    <w:rsid w:val="59E4539E"/>
    <w:rsid w:val="5A5314AB"/>
    <w:rsid w:val="5AA365A4"/>
    <w:rsid w:val="5B4B66A7"/>
    <w:rsid w:val="5B845A5F"/>
    <w:rsid w:val="5C643F86"/>
    <w:rsid w:val="5CF8460C"/>
    <w:rsid w:val="5D6F3E33"/>
    <w:rsid w:val="5E075275"/>
    <w:rsid w:val="5E465776"/>
    <w:rsid w:val="5E977CB9"/>
    <w:rsid w:val="5ED56729"/>
    <w:rsid w:val="5F100D78"/>
    <w:rsid w:val="5FA821BD"/>
    <w:rsid w:val="5FD657A3"/>
    <w:rsid w:val="5FFD15E1"/>
    <w:rsid w:val="60156F28"/>
    <w:rsid w:val="602F47E9"/>
    <w:rsid w:val="60E02F3A"/>
    <w:rsid w:val="60FA66E7"/>
    <w:rsid w:val="61443270"/>
    <w:rsid w:val="61ED14AB"/>
    <w:rsid w:val="61F25ACE"/>
    <w:rsid w:val="620718EE"/>
    <w:rsid w:val="626207F2"/>
    <w:rsid w:val="62D3168C"/>
    <w:rsid w:val="6353510B"/>
    <w:rsid w:val="639A1B0E"/>
    <w:rsid w:val="63B84979"/>
    <w:rsid w:val="642833E6"/>
    <w:rsid w:val="645A795A"/>
    <w:rsid w:val="648424B7"/>
    <w:rsid w:val="6497784E"/>
    <w:rsid w:val="64E875BF"/>
    <w:rsid w:val="65230F4E"/>
    <w:rsid w:val="652B0B65"/>
    <w:rsid w:val="654518E8"/>
    <w:rsid w:val="65ED1384"/>
    <w:rsid w:val="66284E7A"/>
    <w:rsid w:val="662A76E1"/>
    <w:rsid w:val="66CD6D0F"/>
    <w:rsid w:val="66DA728B"/>
    <w:rsid w:val="66EB640A"/>
    <w:rsid w:val="670A4335"/>
    <w:rsid w:val="672724D7"/>
    <w:rsid w:val="67777E0D"/>
    <w:rsid w:val="683D3F64"/>
    <w:rsid w:val="68C87D30"/>
    <w:rsid w:val="69E27D86"/>
    <w:rsid w:val="6A7B707A"/>
    <w:rsid w:val="6ACB73D3"/>
    <w:rsid w:val="6ADE22F7"/>
    <w:rsid w:val="6B077447"/>
    <w:rsid w:val="6B6F4633"/>
    <w:rsid w:val="6B92064C"/>
    <w:rsid w:val="6C0B50CD"/>
    <w:rsid w:val="6C2543A1"/>
    <w:rsid w:val="6C2C33F3"/>
    <w:rsid w:val="6C6E6699"/>
    <w:rsid w:val="6CE51C37"/>
    <w:rsid w:val="6D8307B0"/>
    <w:rsid w:val="6DD87B32"/>
    <w:rsid w:val="6E0C74E9"/>
    <w:rsid w:val="6EFF7A7C"/>
    <w:rsid w:val="6F31040F"/>
    <w:rsid w:val="6F8B5400"/>
    <w:rsid w:val="6FD24AF2"/>
    <w:rsid w:val="6FF10EAD"/>
    <w:rsid w:val="70206BA7"/>
    <w:rsid w:val="702C373A"/>
    <w:rsid w:val="70865BB0"/>
    <w:rsid w:val="71634D35"/>
    <w:rsid w:val="71E339F0"/>
    <w:rsid w:val="72031631"/>
    <w:rsid w:val="72080C08"/>
    <w:rsid w:val="722F1200"/>
    <w:rsid w:val="72AD4EEF"/>
    <w:rsid w:val="73F940D1"/>
    <w:rsid w:val="740B1C0D"/>
    <w:rsid w:val="74B93C25"/>
    <w:rsid w:val="74E2225D"/>
    <w:rsid w:val="74F011C0"/>
    <w:rsid w:val="759D7E21"/>
    <w:rsid w:val="760A3043"/>
    <w:rsid w:val="761A519B"/>
    <w:rsid w:val="766609B7"/>
    <w:rsid w:val="766972D5"/>
    <w:rsid w:val="76711EC6"/>
    <w:rsid w:val="76F93843"/>
    <w:rsid w:val="77242776"/>
    <w:rsid w:val="77492EC0"/>
    <w:rsid w:val="77532570"/>
    <w:rsid w:val="77D34161"/>
    <w:rsid w:val="784A78CA"/>
    <w:rsid w:val="79492A9A"/>
    <w:rsid w:val="79747D71"/>
    <w:rsid w:val="7A7D3958"/>
    <w:rsid w:val="7AF811CF"/>
    <w:rsid w:val="7B7470FC"/>
    <w:rsid w:val="7C835849"/>
    <w:rsid w:val="7C8E041B"/>
    <w:rsid w:val="7CB04D90"/>
    <w:rsid w:val="7CE56B1E"/>
    <w:rsid w:val="7D3B4186"/>
    <w:rsid w:val="7D4E71E4"/>
    <w:rsid w:val="7D943A85"/>
    <w:rsid w:val="7DB20376"/>
    <w:rsid w:val="7E1A2753"/>
    <w:rsid w:val="7EA21DC6"/>
    <w:rsid w:val="7F0F3BDA"/>
    <w:rsid w:val="7FEC7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3C1CCDF7-1FC5-45BB-8AE5-DE78B802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qFormat/>
    <w:rPr>
      <w:color w:val="0000FF"/>
      <w:u w:val="single"/>
    </w:rPr>
  </w:style>
  <w:style w:type="paragraph" w:customStyle="1" w:styleId="a8">
    <w:name w:val="标准书眉_奇数页"/>
    <w:next w:val="a"/>
    <w:qFormat/>
    <w:pPr>
      <w:tabs>
        <w:tab w:val="center" w:pos="4154"/>
        <w:tab w:val="right" w:pos="8306"/>
      </w:tabs>
      <w:spacing w:after="220"/>
      <w:jc w:val="right"/>
    </w:pPr>
    <w:rPr>
      <w:rFonts w:ascii="黑体" w:eastAsia="黑体" w:hAnsi="黑体"/>
      <w:sz w:val="21"/>
      <w:szCs w:val="21"/>
    </w:r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2FA12A-30A6-4E35-A5C6-B1070404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1147</Words>
  <Characters>6540</Characters>
  <Application>Microsoft Office Word</Application>
  <DocSecurity>0</DocSecurity>
  <Lines>54</Lines>
  <Paragraphs>15</Paragraphs>
  <ScaleCrop>false</ScaleCrop>
  <Company>Microsoft</Company>
  <LinksUpToDate>false</LinksUpToDate>
  <CharactersWithSpaces>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yaf</dc:creator>
  <cp:lastModifiedBy>Lenovo</cp:lastModifiedBy>
  <cp:revision>255</cp:revision>
  <dcterms:created xsi:type="dcterms:W3CDTF">2022-04-26T02:28:00Z</dcterms:created>
  <dcterms:modified xsi:type="dcterms:W3CDTF">2023-04-27T03:35:00Z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965ECFB6C1964A50BA344E90DA61B6A7</vt:lpwstr>
  </property>
</Properties>
</file>